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E03396">
      <w:pPr>
        <w:pStyle w:val="3"/>
        <w:keepNext/>
        <w:keepLines/>
        <w:pageBreakBefore w:val="0"/>
        <w:widowControl w:val="0"/>
        <w:kinsoku/>
        <w:wordWrap/>
        <w:overflowPunct/>
        <w:topLinePunct w:val="0"/>
        <w:autoSpaceDE/>
        <w:autoSpaceDN/>
        <w:bidi w:val="0"/>
        <w:adjustRightInd/>
        <w:snapToGrid/>
        <w:spacing w:before="120" w:after="80" w:line="360" w:lineRule="auto"/>
        <w:jc w:val="center"/>
        <w:textAlignment w:val="auto"/>
        <w:rPr>
          <w:rFonts w:hint="default" w:ascii="仿宋" w:hAnsi="仿宋" w:eastAsia="仿宋" w:cs="仿宋"/>
          <w:b/>
          <w:bCs w:val="0"/>
          <w:color w:val="auto"/>
          <w:highlight w:val="none"/>
          <w:lang w:val="en-US" w:eastAsia="zh-CN"/>
        </w:rPr>
      </w:pPr>
      <w:bookmarkStart w:id="0" w:name="_Toc2703"/>
      <w:bookmarkStart w:id="1" w:name="_Toc17294"/>
      <w:bookmarkStart w:id="2" w:name="_Toc31157"/>
      <w:bookmarkStart w:id="3" w:name="_Toc2509"/>
      <w:bookmarkStart w:id="4" w:name="_Toc16113"/>
      <w:bookmarkStart w:id="5" w:name="_Toc172171538"/>
      <w:r>
        <w:rPr>
          <w:rFonts w:hint="eastAsia" w:ascii="仿宋" w:hAnsi="仿宋" w:eastAsia="仿宋" w:cs="仿宋"/>
          <w:b/>
          <w:bCs w:val="0"/>
          <w:color w:val="auto"/>
          <w:highlight w:val="none"/>
          <w:lang w:val="en-US" w:eastAsia="zh-CN"/>
        </w:rPr>
        <w:t>山东钢铁股份有限公司炼铁厂煤气净化车间盘式干燥机替代振动流化床改造项目公开招标</w:t>
      </w:r>
    </w:p>
    <w:p w14:paraId="0A3BD3D1">
      <w:pPr>
        <w:pStyle w:val="3"/>
        <w:keepNext/>
        <w:keepLines/>
        <w:pageBreakBefore w:val="0"/>
        <w:widowControl w:val="0"/>
        <w:kinsoku/>
        <w:wordWrap/>
        <w:overflowPunct/>
        <w:topLinePunct w:val="0"/>
        <w:autoSpaceDE/>
        <w:autoSpaceDN/>
        <w:bidi w:val="0"/>
        <w:adjustRightInd/>
        <w:snapToGrid/>
        <w:spacing w:before="120" w:after="80" w:line="360" w:lineRule="auto"/>
        <w:jc w:val="center"/>
        <w:textAlignment w:val="auto"/>
        <w:rPr>
          <w:rFonts w:hint="eastAsia" w:ascii="仿宋" w:hAnsi="仿宋" w:eastAsia="仿宋" w:cs="仿宋"/>
          <w:b/>
          <w:bCs w:val="0"/>
          <w:color w:val="auto"/>
          <w:szCs w:val="20"/>
          <w:highlight w:val="none"/>
        </w:rPr>
      </w:pPr>
      <w:r>
        <w:rPr>
          <w:rFonts w:hint="eastAsia" w:ascii="仿宋" w:hAnsi="仿宋" w:eastAsia="仿宋" w:cs="仿宋"/>
          <w:b/>
          <w:bCs w:val="0"/>
          <w:color w:val="auto"/>
          <w:highlight w:val="none"/>
          <w:lang w:val="en-US" w:eastAsia="zh-CN"/>
        </w:rPr>
        <w:t>招标</w:t>
      </w:r>
      <w:r>
        <w:rPr>
          <w:rFonts w:hint="eastAsia" w:ascii="仿宋" w:hAnsi="仿宋" w:eastAsia="仿宋" w:cs="仿宋"/>
          <w:b/>
          <w:bCs w:val="0"/>
          <w:color w:val="auto"/>
          <w:highlight w:val="none"/>
          <w:lang w:val="zh-CN"/>
        </w:rPr>
        <w:t>公告</w:t>
      </w:r>
      <w:bookmarkEnd w:id="0"/>
      <w:bookmarkEnd w:id="1"/>
      <w:bookmarkEnd w:id="2"/>
      <w:bookmarkEnd w:id="3"/>
      <w:bookmarkEnd w:id="4"/>
    </w:p>
    <w:bookmarkEnd w:id="5"/>
    <w:p w14:paraId="427B6C2D">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textAlignment w:val="auto"/>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致潜在投标人：</w:t>
      </w:r>
    </w:p>
    <w:p w14:paraId="00BAC298">
      <w:pPr>
        <w:keepNext w:val="0"/>
        <w:keepLines w:val="0"/>
        <w:pageBreakBefore w:val="0"/>
        <w:widowControl w:val="0"/>
        <w:kinsoku/>
        <w:wordWrap/>
        <w:overflowPunct/>
        <w:topLinePunct w:val="0"/>
        <w:bidi w:val="0"/>
        <w:adjustRightInd/>
        <w:snapToGrid w:val="0"/>
        <w:spacing w:line="560" w:lineRule="exact"/>
        <w:ind w:left="0" w:leftChars="0" w:right="0" w:rightChars="0" w:firstLine="480" w:firstLineChars="2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招标人</w:t>
      </w:r>
      <w:r>
        <w:rPr>
          <w:rFonts w:hint="eastAsia" w:ascii="仿宋" w:hAnsi="仿宋" w:eastAsia="仿宋" w:cs="仿宋"/>
          <w:color w:val="auto"/>
          <w:sz w:val="24"/>
          <w:szCs w:val="24"/>
          <w:highlight w:val="none"/>
        </w:rPr>
        <w:t>拟对</w:t>
      </w:r>
      <w:r>
        <w:rPr>
          <w:rFonts w:hint="eastAsia" w:ascii="仿宋" w:hAnsi="仿宋" w:eastAsia="仿宋" w:cs="仿宋"/>
          <w:color w:val="auto"/>
          <w:sz w:val="24"/>
          <w:szCs w:val="24"/>
          <w:highlight w:val="none"/>
          <w:lang w:val="en-US" w:eastAsia="zh-CN"/>
        </w:rPr>
        <w:t>山东钢铁股份有限公司炼铁厂煤气净化车间盘式干燥机替代振动流化床改造项目</w:t>
      </w:r>
      <w:r>
        <w:rPr>
          <w:rFonts w:hint="eastAsia" w:ascii="仿宋" w:hAnsi="仿宋" w:eastAsia="仿宋" w:cs="仿宋"/>
          <w:color w:val="auto"/>
          <w:sz w:val="24"/>
          <w:szCs w:val="24"/>
          <w:highlight w:val="none"/>
        </w:rPr>
        <w:t>进行公开招标，现将招标相关事宜公告如下，欢迎具备投标条件的潜在投标</w:t>
      </w:r>
      <w:r>
        <w:rPr>
          <w:rFonts w:hint="eastAsia" w:ascii="仿宋" w:hAnsi="仿宋" w:eastAsia="仿宋" w:cs="仿宋"/>
          <w:color w:val="auto"/>
          <w:sz w:val="24"/>
          <w:szCs w:val="24"/>
          <w:highlight w:val="none"/>
          <w:lang w:val="en-US" w:eastAsia="zh-CN"/>
        </w:rPr>
        <w:t>人</w:t>
      </w:r>
      <w:r>
        <w:rPr>
          <w:rFonts w:hint="eastAsia" w:ascii="仿宋" w:hAnsi="仿宋" w:eastAsia="仿宋" w:cs="仿宋"/>
          <w:color w:val="auto"/>
          <w:sz w:val="24"/>
          <w:szCs w:val="24"/>
          <w:highlight w:val="none"/>
        </w:rPr>
        <w:t>投标</w:t>
      </w:r>
      <w:r>
        <w:rPr>
          <w:rFonts w:hint="eastAsia" w:ascii="仿宋" w:hAnsi="仿宋" w:eastAsia="仿宋" w:cs="仿宋"/>
          <w:color w:val="auto"/>
          <w:sz w:val="24"/>
          <w:szCs w:val="24"/>
          <w:highlight w:val="none"/>
          <w:lang w:eastAsia="zh-CN"/>
        </w:rPr>
        <w:t>。</w:t>
      </w:r>
    </w:p>
    <w:p w14:paraId="1E889FF6">
      <w:pPr>
        <w:keepNext w:val="0"/>
        <w:keepLines w:val="0"/>
        <w:pageBreakBefore w:val="0"/>
        <w:widowControl w:val="0"/>
        <w:kinsoku/>
        <w:wordWrap/>
        <w:overflowPunct/>
        <w:topLinePunct w:val="0"/>
        <w:bidi w:val="0"/>
        <w:adjustRightInd/>
        <w:snapToGrid w:val="0"/>
        <w:spacing w:line="560" w:lineRule="exact"/>
        <w:ind w:left="0" w:leftChars="0" w:right="0" w:rightChars="0" w:firstLine="482" w:firstLineChars="200"/>
        <w:textAlignment w:val="auto"/>
        <w:outlineLvl w:val="0"/>
        <w:rPr>
          <w:rFonts w:hint="eastAsia" w:ascii="仿宋" w:hAnsi="仿宋" w:eastAsia="仿宋" w:cs="仿宋"/>
          <w:b/>
          <w:bCs/>
          <w:color w:val="auto"/>
          <w:sz w:val="24"/>
          <w:szCs w:val="24"/>
          <w:highlight w:val="none"/>
          <w:lang w:eastAsia="zh-CN"/>
        </w:rPr>
      </w:pPr>
      <w:r>
        <w:rPr>
          <w:rFonts w:hint="eastAsia" w:ascii="仿宋" w:hAnsi="仿宋" w:eastAsia="仿宋" w:cs="仿宋"/>
          <w:b/>
          <w:bCs/>
          <w:color w:val="auto"/>
          <w:sz w:val="24"/>
          <w:szCs w:val="24"/>
          <w:highlight w:val="none"/>
        </w:rPr>
        <w:t>一、招标</w:t>
      </w:r>
      <w:r>
        <w:rPr>
          <w:rFonts w:hint="eastAsia" w:ascii="仿宋" w:hAnsi="仿宋" w:eastAsia="仿宋" w:cs="仿宋"/>
          <w:b/>
          <w:bCs/>
          <w:color w:val="auto"/>
          <w:sz w:val="24"/>
          <w:szCs w:val="24"/>
          <w:highlight w:val="none"/>
          <w:lang w:val="en-US" w:eastAsia="zh-CN"/>
        </w:rPr>
        <w:t>人</w:t>
      </w:r>
    </w:p>
    <w:p w14:paraId="204B107B">
      <w:pPr>
        <w:keepNext w:val="0"/>
        <w:keepLines w:val="0"/>
        <w:pageBreakBefore w:val="0"/>
        <w:widowControl w:val="0"/>
        <w:kinsoku/>
        <w:wordWrap/>
        <w:overflowPunct/>
        <w:topLinePunct w:val="0"/>
        <w:bidi w:val="0"/>
        <w:adjustRightInd/>
        <w:snapToGrid w:val="0"/>
        <w:spacing w:line="560" w:lineRule="exact"/>
        <w:ind w:left="0" w:leftChars="0" w:right="0" w:righ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单位名称：</w:t>
      </w:r>
      <w:r>
        <w:rPr>
          <w:rFonts w:hint="eastAsia" w:ascii="仿宋" w:hAnsi="仿宋" w:eastAsia="仿宋" w:cs="仿宋"/>
          <w:color w:val="auto"/>
          <w:sz w:val="24"/>
          <w:szCs w:val="24"/>
          <w:highlight w:val="none"/>
          <w:lang w:val="en-US" w:eastAsia="zh-CN"/>
        </w:rPr>
        <w:t>山东钢铁股份</w:t>
      </w:r>
      <w:r>
        <w:rPr>
          <w:rFonts w:hint="eastAsia" w:ascii="仿宋" w:hAnsi="仿宋" w:eastAsia="仿宋" w:cs="仿宋"/>
          <w:color w:val="auto"/>
          <w:sz w:val="24"/>
          <w:szCs w:val="24"/>
          <w:highlight w:val="none"/>
        </w:rPr>
        <w:t>有限公司</w:t>
      </w:r>
    </w:p>
    <w:p w14:paraId="061615D8">
      <w:pPr>
        <w:keepNext w:val="0"/>
        <w:keepLines w:val="0"/>
        <w:pageBreakBefore w:val="0"/>
        <w:widowControl w:val="0"/>
        <w:kinsoku/>
        <w:wordWrap/>
        <w:overflowPunct/>
        <w:topLinePunct w:val="0"/>
        <w:bidi w:val="0"/>
        <w:adjustRightInd/>
        <w:snapToGrid w:val="0"/>
        <w:spacing w:line="560" w:lineRule="exact"/>
        <w:ind w:left="0" w:leftChars="0" w:right="0" w:rightChars="0" w:firstLine="480" w:firstLineChars="200"/>
        <w:textAlignment w:val="auto"/>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招标编号：BWSJ-20260831-001</w:t>
      </w:r>
    </w:p>
    <w:p w14:paraId="21ED2946">
      <w:pPr>
        <w:keepNext w:val="0"/>
        <w:keepLines w:val="0"/>
        <w:pageBreakBefore w:val="0"/>
        <w:widowControl w:val="0"/>
        <w:kinsoku/>
        <w:wordWrap/>
        <w:overflowPunct/>
        <w:topLinePunct w:val="0"/>
        <w:bidi w:val="0"/>
        <w:adjustRightInd/>
        <w:snapToGrid w:val="0"/>
        <w:spacing w:line="560" w:lineRule="exact"/>
        <w:ind w:left="0" w:leftChars="0" w:right="0" w:rightChars="0" w:firstLine="482" w:firstLineChars="200"/>
        <w:textAlignment w:val="auto"/>
        <w:outlineLvl w:val="0"/>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二</w:t>
      </w:r>
      <w:r>
        <w:rPr>
          <w:rFonts w:hint="eastAsia" w:ascii="仿宋" w:hAnsi="仿宋" w:eastAsia="仿宋" w:cs="仿宋"/>
          <w:b/>
          <w:bCs/>
          <w:color w:val="auto"/>
          <w:sz w:val="24"/>
          <w:szCs w:val="24"/>
          <w:highlight w:val="none"/>
        </w:rPr>
        <w:t>、项目</w:t>
      </w:r>
      <w:r>
        <w:rPr>
          <w:rFonts w:hint="eastAsia" w:ascii="仿宋" w:hAnsi="仿宋" w:eastAsia="仿宋" w:cs="仿宋"/>
          <w:b/>
          <w:bCs/>
          <w:color w:val="auto"/>
          <w:sz w:val="24"/>
          <w:szCs w:val="24"/>
          <w:highlight w:val="none"/>
          <w:lang w:val="en-US" w:eastAsia="zh-CN"/>
        </w:rPr>
        <w:t>概况与招标范围</w:t>
      </w:r>
    </w:p>
    <w:p w14:paraId="1BBBC557">
      <w:pPr>
        <w:keepNext w:val="0"/>
        <w:keepLines w:val="0"/>
        <w:pageBreakBefore w:val="0"/>
        <w:widowControl w:val="0"/>
        <w:kinsoku/>
        <w:wordWrap/>
        <w:overflowPunct/>
        <w:topLinePunct w:val="0"/>
        <w:bidi w:val="0"/>
        <w:adjustRightInd/>
        <w:snapToGrid w:val="0"/>
        <w:spacing w:line="560" w:lineRule="exact"/>
        <w:ind w:left="0" w:leftChars="0" w:right="0" w:righ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（一）</w:t>
      </w:r>
      <w:r>
        <w:rPr>
          <w:rFonts w:hint="eastAsia" w:ascii="仿宋" w:hAnsi="仿宋" w:eastAsia="仿宋" w:cs="仿宋"/>
          <w:color w:val="auto"/>
          <w:sz w:val="24"/>
          <w:szCs w:val="24"/>
          <w:highlight w:val="none"/>
        </w:rPr>
        <w:t>招标</w:t>
      </w:r>
      <w:r>
        <w:rPr>
          <w:rFonts w:hint="eastAsia" w:ascii="仿宋" w:hAnsi="仿宋" w:eastAsia="仿宋" w:cs="仿宋"/>
          <w:color w:val="auto"/>
          <w:sz w:val="24"/>
          <w:szCs w:val="24"/>
          <w:highlight w:val="none"/>
          <w:lang w:val="en-US" w:eastAsia="zh-CN"/>
        </w:rPr>
        <w:t>项目</w:t>
      </w:r>
      <w:r>
        <w:rPr>
          <w:rFonts w:hint="eastAsia" w:ascii="仿宋" w:hAnsi="仿宋" w:eastAsia="仿宋" w:cs="仿宋"/>
          <w:color w:val="auto"/>
          <w:sz w:val="24"/>
          <w:szCs w:val="24"/>
          <w:highlight w:val="none"/>
        </w:rPr>
        <w:t>名称：</w:t>
      </w:r>
      <w:r>
        <w:rPr>
          <w:rFonts w:hint="eastAsia" w:ascii="仿宋" w:hAnsi="仿宋" w:eastAsia="仿宋" w:cs="仿宋"/>
          <w:color w:val="auto"/>
          <w:sz w:val="24"/>
          <w:szCs w:val="24"/>
          <w:highlight w:val="none"/>
          <w:lang w:val="en-US" w:eastAsia="zh-CN"/>
        </w:rPr>
        <w:t>山东钢铁股份有限公司炼铁厂煤气净化车间盘式干燥机替代振动流化床改造项目</w:t>
      </w:r>
      <w:r>
        <w:rPr>
          <w:rFonts w:hint="eastAsia" w:ascii="仿宋" w:hAnsi="仿宋" w:eastAsia="仿宋" w:cs="仿宋"/>
          <w:color w:val="auto"/>
          <w:sz w:val="24"/>
          <w:szCs w:val="24"/>
          <w:highlight w:val="none"/>
        </w:rPr>
        <w:t>。</w:t>
      </w:r>
    </w:p>
    <w:p w14:paraId="204182FC">
      <w:pPr>
        <w:pStyle w:val="8"/>
        <w:keepNext w:val="0"/>
        <w:keepLines w:val="0"/>
        <w:pageBreakBefore w:val="0"/>
        <w:widowControl w:val="0"/>
        <w:tabs>
          <w:tab w:val="right" w:leader="dot" w:pos="8296"/>
        </w:tabs>
        <w:kinsoku/>
        <w:wordWrap/>
        <w:overflowPunct/>
        <w:topLinePunct w:val="0"/>
        <w:bidi w:val="0"/>
        <w:adjustRightInd/>
        <w:spacing w:after="0" w:line="560" w:lineRule="exact"/>
        <w:ind w:left="0" w:leftChars="0" w:right="0" w:rightChars="0" w:firstLine="480" w:firstLineChars="200"/>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eastAsia="zh-CN"/>
        </w:rPr>
        <w:t>（二）</w:t>
      </w:r>
      <w:r>
        <w:rPr>
          <w:rFonts w:hint="eastAsia" w:ascii="仿宋" w:hAnsi="仿宋" w:eastAsia="仿宋" w:cs="仿宋"/>
          <w:color w:val="auto"/>
          <w:kern w:val="2"/>
          <w:sz w:val="24"/>
          <w:szCs w:val="24"/>
          <w:highlight w:val="none"/>
          <w:lang w:val="en-US" w:eastAsia="zh-CN" w:bidi="ar-SA"/>
        </w:rPr>
        <w:t>建设地点：济南市钢城区。</w:t>
      </w:r>
    </w:p>
    <w:p w14:paraId="3C90DD20">
      <w:pPr>
        <w:pStyle w:val="8"/>
        <w:keepNext w:val="0"/>
        <w:keepLines w:val="0"/>
        <w:pageBreakBefore w:val="0"/>
        <w:widowControl w:val="0"/>
        <w:tabs>
          <w:tab w:val="right" w:leader="dot" w:pos="8296"/>
        </w:tabs>
        <w:kinsoku/>
        <w:wordWrap/>
        <w:overflowPunct/>
        <w:topLinePunct w:val="0"/>
        <w:bidi w:val="0"/>
        <w:adjustRightInd/>
        <w:spacing w:after="0" w:line="560" w:lineRule="exact"/>
        <w:ind w:left="0" w:leftChars="0" w:right="0" w:rightChars="0"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（三）资金来源：自筹资金。</w:t>
      </w:r>
    </w:p>
    <w:p w14:paraId="38D5020D">
      <w:pPr>
        <w:pStyle w:val="8"/>
        <w:keepNext w:val="0"/>
        <w:keepLines w:val="0"/>
        <w:pageBreakBefore w:val="0"/>
        <w:widowControl w:val="0"/>
        <w:tabs>
          <w:tab w:val="right" w:leader="dot" w:pos="8296"/>
        </w:tabs>
        <w:kinsoku/>
        <w:wordWrap/>
        <w:overflowPunct/>
        <w:topLinePunct w:val="0"/>
        <w:bidi w:val="0"/>
        <w:adjustRightInd/>
        <w:spacing w:after="0" w:line="560" w:lineRule="exact"/>
        <w:ind w:left="0" w:leftChars="0" w:right="0" w:rightChars="0"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（四）工期：本改造项目绝对工期180天（包括采购、施工、调试，包含节假日）。因投标人原因工期拖期每天扣总价款的0.3%，最高不超过合同价款的10%。</w:t>
      </w:r>
    </w:p>
    <w:p w14:paraId="17C61FEE">
      <w:pPr>
        <w:pStyle w:val="8"/>
        <w:keepNext w:val="0"/>
        <w:keepLines w:val="0"/>
        <w:pageBreakBefore w:val="0"/>
        <w:widowControl w:val="0"/>
        <w:tabs>
          <w:tab w:val="right" w:leader="dot" w:pos="8296"/>
        </w:tabs>
        <w:kinsoku/>
        <w:wordWrap/>
        <w:overflowPunct/>
        <w:topLinePunct w:val="0"/>
        <w:bidi w:val="0"/>
        <w:adjustRightInd/>
        <w:spacing w:after="0" w:line="560" w:lineRule="exact"/>
        <w:ind w:left="0" w:leftChars="0" w:right="0" w:rightChars="0"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（五）质量要求：符合国家和行业现行的规范、标准要求；符合招标人考核指标要求；工程质量合格。</w:t>
      </w:r>
    </w:p>
    <w:p w14:paraId="55297F1B">
      <w:pPr>
        <w:pStyle w:val="8"/>
        <w:keepNext w:val="0"/>
        <w:keepLines w:val="0"/>
        <w:pageBreakBefore w:val="0"/>
        <w:widowControl w:val="0"/>
        <w:tabs>
          <w:tab w:val="right" w:leader="dot" w:pos="8296"/>
        </w:tabs>
        <w:kinsoku/>
        <w:wordWrap/>
        <w:overflowPunct/>
        <w:topLinePunct w:val="0"/>
        <w:bidi w:val="0"/>
        <w:adjustRightInd/>
        <w:spacing w:after="0" w:line="560" w:lineRule="exact"/>
        <w:ind w:left="0" w:leftChars="0" w:right="0" w:righ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（六）</w:t>
      </w:r>
      <w:r>
        <w:rPr>
          <w:rFonts w:hint="eastAsia" w:ascii="仿宋" w:hAnsi="仿宋" w:eastAsia="仿宋" w:cs="仿宋"/>
          <w:color w:val="auto"/>
          <w:sz w:val="24"/>
          <w:szCs w:val="24"/>
          <w:highlight w:val="none"/>
        </w:rPr>
        <w:t>招标</w:t>
      </w:r>
      <w:r>
        <w:rPr>
          <w:rFonts w:hint="eastAsia" w:ascii="仿宋" w:hAnsi="仿宋" w:eastAsia="仿宋" w:cs="仿宋"/>
          <w:color w:val="auto"/>
          <w:sz w:val="24"/>
          <w:szCs w:val="24"/>
          <w:highlight w:val="none"/>
          <w:lang w:val="en-US" w:eastAsia="zh-CN"/>
        </w:rPr>
        <w:t>范围</w:t>
      </w:r>
      <w:r>
        <w:rPr>
          <w:rFonts w:hint="eastAsia" w:ascii="仿宋" w:hAnsi="仿宋" w:eastAsia="仿宋" w:cs="仿宋"/>
          <w:color w:val="auto"/>
          <w:sz w:val="24"/>
          <w:szCs w:val="24"/>
          <w:highlight w:val="none"/>
        </w:rPr>
        <w:t>：</w:t>
      </w:r>
    </w:p>
    <w:p w14:paraId="25DE94A3">
      <w:pPr>
        <w:keepNext w:val="0"/>
        <w:keepLines w:val="0"/>
        <w:pageBreakBefore w:val="0"/>
        <w:widowControl w:val="0"/>
        <w:kinsoku/>
        <w:wordWrap/>
        <w:overflowPunct/>
        <w:topLinePunct w:val="0"/>
        <w:bidi w:val="0"/>
        <w:adjustRightInd/>
        <w:snapToGrid w:val="0"/>
        <w:spacing w:line="560" w:lineRule="exact"/>
        <w:ind w:left="0" w:leftChars="0" w:right="0" w:rightChars="0" w:firstLine="480"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由投标人全面负责炼铁厂煤气净化车间盘式干燥机替代振动流化床改造项目总承包工程相关工作，即投标人负责改造范围内的设施拆除（招标人回收，运至招标人指定位置）、硫铵厂房鉴定（若投标人不具备资质，需投标人聘请招标人认可的有资质的第三方）及加固改造、地基处理、所需备件材料等采购供货、工程施工、安装调试、功能考核、交工竣工、售后服务等全部工作，对工程质量、安全、工期全面负责，确保项目达到本技术规格书规定的各项指标（技术规格书详见招标需求）。</w:t>
      </w:r>
    </w:p>
    <w:p w14:paraId="7618C932">
      <w:pPr>
        <w:keepNext w:val="0"/>
        <w:keepLines w:val="0"/>
        <w:pageBreakBefore w:val="0"/>
        <w:widowControl w:val="0"/>
        <w:kinsoku/>
        <w:wordWrap/>
        <w:overflowPunct/>
        <w:topLinePunct w:val="0"/>
        <w:bidi w:val="0"/>
        <w:adjustRightInd/>
        <w:snapToGrid w:val="0"/>
        <w:spacing w:line="560" w:lineRule="exact"/>
        <w:ind w:left="0" w:leftChars="0" w:right="0" w:rightChars="0" w:firstLine="482" w:firstLineChars="200"/>
        <w:textAlignment w:val="auto"/>
        <w:outlineLvl w:val="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lang w:val="en-US" w:eastAsia="zh-CN"/>
        </w:rPr>
        <w:t>三</w:t>
      </w:r>
      <w:r>
        <w:rPr>
          <w:rFonts w:hint="eastAsia" w:ascii="仿宋" w:hAnsi="仿宋" w:eastAsia="仿宋" w:cs="仿宋"/>
          <w:b/>
          <w:bCs/>
          <w:color w:val="auto"/>
          <w:sz w:val="24"/>
          <w:szCs w:val="24"/>
          <w:highlight w:val="none"/>
        </w:rPr>
        <w:t>、</w:t>
      </w:r>
      <w:r>
        <w:rPr>
          <w:rFonts w:hint="eastAsia" w:ascii="仿宋" w:hAnsi="仿宋" w:eastAsia="仿宋" w:cs="仿宋"/>
          <w:b/>
          <w:bCs/>
          <w:color w:val="auto"/>
          <w:sz w:val="24"/>
          <w:szCs w:val="24"/>
          <w:highlight w:val="none"/>
          <w:lang w:val="en-US" w:eastAsia="zh-CN"/>
        </w:rPr>
        <w:t>合格</w:t>
      </w:r>
      <w:r>
        <w:rPr>
          <w:rFonts w:hint="eastAsia" w:ascii="仿宋" w:hAnsi="仿宋" w:eastAsia="仿宋" w:cs="仿宋"/>
          <w:b/>
          <w:bCs/>
          <w:color w:val="auto"/>
          <w:sz w:val="24"/>
          <w:szCs w:val="24"/>
          <w:highlight w:val="none"/>
        </w:rPr>
        <w:t>投标人</w:t>
      </w:r>
      <w:r>
        <w:rPr>
          <w:rFonts w:hint="eastAsia" w:ascii="仿宋" w:hAnsi="仿宋" w:eastAsia="仿宋" w:cs="仿宋"/>
          <w:b/>
          <w:bCs/>
          <w:color w:val="auto"/>
          <w:sz w:val="24"/>
          <w:szCs w:val="24"/>
          <w:highlight w:val="none"/>
          <w:lang w:eastAsia="zh-CN"/>
        </w:rPr>
        <w:t>的</w:t>
      </w:r>
      <w:r>
        <w:rPr>
          <w:rFonts w:hint="eastAsia" w:ascii="仿宋" w:hAnsi="仿宋" w:eastAsia="仿宋" w:cs="仿宋"/>
          <w:b/>
          <w:bCs/>
          <w:color w:val="auto"/>
          <w:sz w:val="24"/>
          <w:szCs w:val="24"/>
          <w:highlight w:val="none"/>
        </w:rPr>
        <w:t>资格要求</w:t>
      </w:r>
    </w:p>
    <w:p w14:paraId="1B394277">
      <w:pPr>
        <w:keepNext w:val="0"/>
        <w:keepLines w:val="0"/>
        <w:pageBreakBefore w:val="0"/>
        <w:widowControl w:val="0"/>
        <w:kinsoku/>
        <w:wordWrap/>
        <w:overflowPunct/>
        <w:topLinePunct w:val="0"/>
        <w:bidi w:val="0"/>
        <w:adjustRightInd/>
        <w:snapToGrid w:val="0"/>
        <w:spacing w:line="560" w:lineRule="exact"/>
        <w:ind w:left="0" w:leftChars="0" w:right="0" w:rightChars="0"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本项目采取资格后审方式。</w:t>
      </w:r>
    </w:p>
    <w:p w14:paraId="182BBB8C">
      <w:pPr>
        <w:keepNext w:val="0"/>
        <w:keepLines w:val="0"/>
        <w:pageBreakBefore w:val="0"/>
        <w:widowControl w:val="0"/>
        <w:kinsoku/>
        <w:wordWrap/>
        <w:overflowPunct/>
        <w:topLinePunct w:val="0"/>
        <w:bidi w:val="0"/>
        <w:adjustRightInd/>
        <w:snapToGrid w:val="0"/>
        <w:spacing w:line="560" w:lineRule="exact"/>
        <w:ind w:left="0" w:leftChars="0" w:right="0" w:righ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投标人不符合以下条件的，资格审查将被否决，</w:t>
      </w:r>
      <w:r>
        <w:rPr>
          <w:rFonts w:hint="eastAsia" w:ascii="仿宋" w:hAnsi="仿宋" w:eastAsia="仿宋" w:cs="仿宋"/>
          <w:color w:val="auto"/>
          <w:sz w:val="24"/>
          <w:szCs w:val="24"/>
          <w:highlight w:val="none"/>
          <w:lang w:val="en-US" w:eastAsia="zh-CN"/>
        </w:rPr>
        <w:t>投标人投标文件视为无效投标</w:t>
      </w:r>
      <w:r>
        <w:rPr>
          <w:rFonts w:hint="eastAsia" w:ascii="仿宋" w:hAnsi="仿宋" w:eastAsia="仿宋" w:cs="仿宋"/>
          <w:color w:val="auto"/>
          <w:sz w:val="24"/>
          <w:szCs w:val="24"/>
          <w:highlight w:val="none"/>
        </w:rPr>
        <w:t>。</w:t>
      </w:r>
    </w:p>
    <w:p w14:paraId="109E9B3A">
      <w:pPr>
        <w:keepNext w:val="0"/>
        <w:keepLines w:val="0"/>
        <w:pageBreakBefore w:val="0"/>
        <w:widowControl w:val="0"/>
        <w:kinsoku/>
        <w:wordWrap/>
        <w:overflowPunct/>
        <w:topLinePunct w:val="0"/>
        <w:autoSpaceDE/>
        <w:autoSpaceDN/>
        <w:bidi w:val="0"/>
        <w:adjustRightInd/>
        <w:spacing w:line="560" w:lineRule="exact"/>
        <w:ind w:left="0" w:leftChars="0" w:right="0" w:rightChars="0" w:firstLine="360" w:firstLineChars="150"/>
        <w:textAlignment w:val="auto"/>
        <w:outlineLvl w:val="1"/>
        <w:rPr>
          <w:rFonts w:hint="eastAsia" w:ascii="仿宋" w:hAnsi="仿宋" w:eastAsia="仿宋" w:cs="仿宋"/>
          <w:color w:val="auto"/>
          <w:kern w:val="0"/>
          <w:sz w:val="24"/>
          <w:szCs w:val="24"/>
          <w:highlight w:val="none"/>
          <w:shd w:val="clear" w:color="auto" w:fill="FFFFFF"/>
          <w:lang w:val="en-US" w:eastAsia="zh-CN"/>
        </w:rPr>
      </w:pPr>
      <w:r>
        <w:rPr>
          <w:rFonts w:hint="eastAsia" w:ascii="仿宋" w:hAnsi="仿宋" w:eastAsia="仿宋" w:cs="仿宋"/>
          <w:color w:val="auto"/>
          <w:kern w:val="0"/>
          <w:sz w:val="24"/>
          <w:szCs w:val="24"/>
          <w:highlight w:val="none"/>
          <w:shd w:val="clear" w:color="auto" w:fill="FFFFFF"/>
          <w:lang w:val="en-US" w:eastAsia="zh-CN"/>
        </w:rPr>
        <w:t>（一）投标人资格要求</w:t>
      </w:r>
    </w:p>
    <w:p w14:paraId="70E2F597">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480" w:firstLineChars="200"/>
        <w:textAlignment w:val="auto"/>
        <w:rPr>
          <w:rFonts w:hint="eastAsia" w:ascii="仿宋" w:hAnsi="仿宋" w:eastAsia="仿宋" w:cs="仿宋"/>
          <w:color w:val="auto"/>
          <w:kern w:val="0"/>
          <w:sz w:val="24"/>
          <w:szCs w:val="24"/>
          <w:highlight w:val="none"/>
          <w:shd w:val="clear" w:color="auto" w:fill="FFFFFF"/>
          <w:lang w:val="en-US" w:eastAsia="zh-CN"/>
        </w:rPr>
      </w:pPr>
      <w:r>
        <w:rPr>
          <w:rFonts w:hint="eastAsia" w:ascii="仿宋" w:hAnsi="仿宋" w:eastAsia="仿宋" w:cs="仿宋"/>
          <w:color w:val="auto"/>
          <w:kern w:val="0"/>
          <w:sz w:val="24"/>
          <w:szCs w:val="24"/>
          <w:highlight w:val="none"/>
          <w:shd w:val="clear" w:color="auto" w:fill="FFFFFF"/>
          <w:lang w:val="en-US" w:eastAsia="zh-CN"/>
        </w:rPr>
        <w:t>1.投标人须在中华人民共和国境内依法注册，具有独立法人资格，具有有效的安全生产许可证，持有有效的营业执照、税务登记证、组织机构代码证（或三证合一营业执照），具备合法的经营资质，能够独立承担民事责任和合同义务。</w:t>
      </w:r>
    </w:p>
    <w:p w14:paraId="09C1008C">
      <w:pPr>
        <w:pStyle w:val="2"/>
        <w:keepNext/>
        <w:keepLines/>
        <w:pageBreakBefore w:val="0"/>
        <w:widowControl w:val="0"/>
        <w:kinsoku/>
        <w:wordWrap/>
        <w:overflowPunct/>
        <w:topLinePunct w:val="0"/>
        <w:autoSpaceDE/>
        <w:autoSpaceDN/>
        <w:bidi w:val="0"/>
        <w:adjustRightInd/>
        <w:snapToGrid/>
        <w:spacing w:before="0" w:after="0" w:line="560" w:lineRule="exact"/>
        <w:ind w:firstLine="482" w:firstLineChars="200"/>
        <w:jc w:val="left"/>
        <w:textAlignment w:val="auto"/>
        <w:rPr>
          <w:rFonts w:hint="default" w:ascii="仿宋" w:hAnsi="仿宋" w:eastAsia="仿宋" w:cs="仿宋"/>
          <w:color w:val="auto"/>
          <w:kern w:val="0"/>
          <w:sz w:val="24"/>
          <w:szCs w:val="24"/>
          <w:highlight w:val="none"/>
          <w:shd w:val="clear" w:color="auto" w:fill="FFFFFF"/>
          <w:lang w:val="en-US" w:eastAsia="zh-CN" w:bidi="ar-SA"/>
        </w:rPr>
      </w:pPr>
      <w:r>
        <w:rPr>
          <w:rFonts w:hint="eastAsia" w:ascii="仿宋" w:hAnsi="仿宋" w:eastAsia="仿宋" w:cs="仿宋"/>
          <w:color w:val="auto"/>
          <w:kern w:val="0"/>
          <w:sz w:val="24"/>
          <w:szCs w:val="24"/>
          <w:highlight w:val="none"/>
          <w:shd w:val="clear" w:color="auto" w:fill="FFFFFF"/>
          <w:lang w:val="en-US" w:eastAsia="zh-CN"/>
        </w:rPr>
        <w:t>2.施工资质：石油化工工程施工总承包二级及以上资质</w:t>
      </w:r>
      <w:r>
        <w:rPr>
          <w:rFonts w:hint="eastAsia" w:cs="仿宋"/>
          <w:color w:val="auto"/>
          <w:kern w:val="0"/>
          <w:sz w:val="24"/>
          <w:szCs w:val="24"/>
          <w:highlight w:val="none"/>
          <w:shd w:val="clear" w:color="auto" w:fill="FFFFFF"/>
          <w:lang w:val="en-US" w:eastAsia="zh-CN"/>
        </w:rPr>
        <w:t>。</w:t>
      </w:r>
    </w:p>
    <w:p w14:paraId="5F7A4705">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480" w:firstLineChars="200"/>
        <w:textAlignment w:val="auto"/>
        <w:rPr>
          <w:rFonts w:hint="eastAsia" w:ascii="仿宋" w:hAnsi="仿宋" w:eastAsia="仿宋" w:cs="仿宋"/>
          <w:color w:val="auto"/>
          <w:kern w:val="0"/>
          <w:sz w:val="24"/>
          <w:szCs w:val="24"/>
          <w:highlight w:val="none"/>
          <w:shd w:val="clear" w:color="auto" w:fill="FFFFFF"/>
          <w:lang w:val="en-US" w:eastAsia="zh-CN"/>
        </w:rPr>
      </w:pPr>
      <w:r>
        <w:rPr>
          <w:rFonts w:hint="eastAsia" w:ascii="仿宋" w:hAnsi="仿宋" w:eastAsia="仿宋" w:cs="仿宋"/>
          <w:color w:val="auto"/>
          <w:kern w:val="0"/>
          <w:sz w:val="24"/>
          <w:szCs w:val="24"/>
          <w:highlight w:val="none"/>
          <w:shd w:val="clear" w:color="auto" w:fill="FFFFFF"/>
          <w:lang w:val="en-US" w:eastAsia="zh-CN"/>
        </w:rPr>
        <w:t>3.项目负责人须具备机电工程专业二级及以上注册建造师证书、有效的安全生产考核合格证书（B证），且为投标人本单位正式员工（提供近6个月社保缴纳证明）；施工现场须配备专职安全员（持有C类安全生产考核合格证书）等专业管理人员，且均为投标人正式员工。</w:t>
      </w:r>
    </w:p>
    <w:p w14:paraId="15564C2F">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480" w:firstLineChars="200"/>
        <w:textAlignment w:val="auto"/>
        <w:rPr>
          <w:rFonts w:hint="eastAsia" w:ascii="仿宋" w:hAnsi="仿宋" w:eastAsia="仿宋" w:cs="仿宋"/>
          <w:color w:val="auto"/>
          <w:kern w:val="0"/>
          <w:sz w:val="24"/>
          <w:szCs w:val="24"/>
          <w:highlight w:val="none"/>
          <w:shd w:val="clear" w:color="auto" w:fill="FFFFFF"/>
          <w:lang w:val="en-US" w:eastAsia="zh-CN"/>
        </w:rPr>
      </w:pPr>
      <w:r>
        <w:rPr>
          <w:rFonts w:hint="eastAsia" w:ascii="仿宋" w:hAnsi="仿宋" w:eastAsia="仿宋" w:cs="仿宋"/>
          <w:color w:val="auto"/>
          <w:kern w:val="0"/>
          <w:sz w:val="24"/>
          <w:szCs w:val="24"/>
          <w:highlight w:val="none"/>
          <w:shd w:val="clear" w:color="auto" w:fill="FFFFFF"/>
          <w:lang w:val="en-US" w:eastAsia="zh-CN"/>
        </w:rPr>
        <w:t>4.投标人不得存在下列情形之一</w:t>
      </w:r>
      <w:bookmarkStart w:id="6" w:name="_GoBack"/>
      <w:bookmarkEnd w:id="6"/>
      <w:r>
        <w:rPr>
          <w:rFonts w:hint="eastAsia" w:ascii="仿宋" w:hAnsi="仿宋" w:eastAsia="仿宋" w:cs="仿宋"/>
          <w:color w:val="auto"/>
          <w:kern w:val="0"/>
          <w:sz w:val="24"/>
          <w:szCs w:val="24"/>
          <w:highlight w:val="none"/>
          <w:shd w:val="clear" w:color="auto" w:fill="FFFFFF"/>
          <w:lang w:val="en-US" w:eastAsia="zh-CN"/>
        </w:rPr>
        <w:t xml:space="preserve">： </w:t>
      </w:r>
    </w:p>
    <w:p w14:paraId="4449B063">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480" w:firstLineChars="200"/>
        <w:textAlignment w:val="auto"/>
        <w:rPr>
          <w:rFonts w:hint="eastAsia" w:ascii="仿宋" w:hAnsi="仿宋" w:eastAsia="仿宋" w:cs="仿宋"/>
          <w:color w:val="auto"/>
          <w:kern w:val="0"/>
          <w:sz w:val="24"/>
          <w:szCs w:val="24"/>
          <w:highlight w:val="none"/>
          <w:shd w:val="clear" w:color="auto" w:fill="FFFFFF"/>
          <w:lang w:val="en-US" w:eastAsia="zh-CN"/>
        </w:rPr>
      </w:pPr>
      <w:r>
        <w:rPr>
          <w:rFonts w:hint="eastAsia" w:ascii="仿宋" w:hAnsi="仿宋" w:eastAsia="仿宋" w:cs="仿宋"/>
          <w:color w:val="auto"/>
          <w:kern w:val="0"/>
          <w:sz w:val="24"/>
          <w:szCs w:val="24"/>
          <w:highlight w:val="none"/>
          <w:shd w:val="clear" w:color="auto" w:fill="FFFFFF"/>
          <w:lang w:val="en-US" w:eastAsia="zh-CN"/>
        </w:rPr>
        <w:t>①与招标人存在利害关系且可能影响招标活动公正性；②与本招标项目的其他投标人为同一个单位负责人；③与本招标项目的其他投标人存在控股、管理关系。同一法人机构与其任何分支机构（或同一法人机构的不同分支机构不得同时参加本项目投标）。④存在其他违反法律法规、职业道德的情形的；</w:t>
      </w:r>
    </w:p>
    <w:p w14:paraId="704DAA3F">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480" w:firstLineChars="200"/>
        <w:textAlignment w:val="auto"/>
        <w:rPr>
          <w:rFonts w:hint="eastAsia" w:ascii="仿宋" w:hAnsi="仿宋" w:eastAsia="仿宋" w:cs="仿宋"/>
          <w:color w:val="auto"/>
          <w:kern w:val="0"/>
          <w:sz w:val="24"/>
          <w:szCs w:val="24"/>
          <w:highlight w:val="none"/>
          <w:shd w:val="clear" w:color="auto" w:fill="FFFFFF"/>
          <w:lang w:val="en-US" w:eastAsia="zh-CN"/>
        </w:rPr>
      </w:pPr>
      <w:r>
        <w:rPr>
          <w:rFonts w:hint="eastAsia" w:ascii="仿宋" w:hAnsi="仿宋" w:eastAsia="仿宋" w:cs="仿宋"/>
          <w:color w:val="auto"/>
          <w:kern w:val="0"/>
          <w:sz w:val="24"/>
          <w:szCs w:val="24"/>
          <w:highlight w:val="none"/>
          <w:shd w:val="clear" w:color="auto" w:fill="FFFFFF"/>
          <w:lang w:val="en-US" w:eastAsia="zh-CN"/>
        </w:rPr>
        <w:t>5.被山东钢铁集团有限公司及权属单位列入合作异常名录的。</w:t>
      </w:r>
    </w:p>
    <w:p w14:paraId="7DFEC870">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480" w:firstLineChars="200"/>
        <w:textAlignment w:val="auto"/>
        <w:outlineLvl w:val="1"/>
        <w:rPr>
          <w:rFonts w:hint="eastAsia" w:ascii="仿宋" w:hAnsi="仿宋" w:eastAsia="仿宋" w:cs="仿宋"/>
          <w:color w:val="auto"/>
          <w:kern w:val="0"/>
          <w:sz w:val="24"/>
          <w:szCs w:val="24"/>
          <w:highlight w:val="none"/>
          <w:shd w:val="clear" w:color="auto" w:fill="FFFFFF"/>
          <w:lang w:val="en-US" w:eastAsia="zh-CN"/>
        </w:rPr>
      </w:pPr>
      <w:r>
        <w:rPr>
          <w:rFonts w:hint="eastAsia" w:ascii="仿宋" w:hAnsi="仿宋" w:eastAsia="仿宋" w:cs="仿宋"/>
          <w:color w:val="auto"/>
          <w:kern w:val="0"/>
          <w:sz w:val="24"/>
          <w:szCs w:val="24"/>
          <w:highlight w:val="none"/>
          <w:shd w:val="clear" w:color="auto" w:fill="FFFFFF"/>
          <w:lang w:val="en-US" w:eastAsia="zh-CN"/>
        </w:rPr>
        <w:t>（二）投标人其他条件：</w:t>
      </w:r>
    </w:p>
    <w:p w14:paraId="4819E05E">
      <w:pPr>
        <w:keepNext w:val="0"/>
        <w:keepLines w:val="0"/>
        <w:pageBreakBefore w:val="0"/>
        <w:widowControl w:val="0"/>
        <w:kinsoku/>
        <w:wordWrap/>
        <w:overflowPunct/>
        <w:topLinePunct w:val="0"/>
        <w:bidi w:val="0"/>
        <w:adjustRightInd/>
        <w:snapToGrid w:val="0"/>
        <w:spacing w:line="560" w:lineRule="exact"/>
        <w:ind w:left="0" w:leftChars="0" w:right="0" w:righ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投标人近三年内无与山东钢铁集团有限公司不履约的情形。</w:t>
      </w:r>
    </w:p>
    <w:p w14:paraId="1399635A">
      <w:pPr>
        <w:keepNext w:val="0"/>
        <w:keepLines w:val="0"/>
        <w:pageBreakBefore w:val="0"/>
        <w:widowControl w:val="0"/>
        <w:kinsoku/>
        <w:wordWrap/>
        <w:overflowPunct/>
        <w:topLinePunct w:val="0"/>
        <w:bidi w:val="0"/>
        <w:adjustRightInd/>
        <w:snapToGrid w:val="0"/>
        <w:spacing w:line="560" w:lineRule="exact"/>
        <w:ind w:left="0" w:leftChars="0" w:right="0" w:righ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投标人没有被列入山东钢铁集团有限公司黑名单、淘汰名单（淘汰时间范围内）</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限制合作</w:t>
      </w:r>
      <w:r>
        <w:rPr>
          <w:rFonts w:hint="eastAsia" w:ascii="仿宋" w:hAnsi="仿宋" w:eastAsia="仿宋" w:cs="仿宋"/>
          <w:color w:val="auto"/>
          <w:sz w:val="24"/>
          <w:szCs w:val="24"/>
          <w:highlight w:val="none"/>
        </w:rPr>
        <w:t>的情形。</w:t>
      </w:r>
    </w:p>
    <w:p w14:paraId="3C2053BC">
      <w:pPr>
        <w:keepNext w:val="0"/>
        <w:keepLines w:val="0"/>
        <w:pageBreakBefore w:val="0"/>
        <w:widowControl w:val="0"/>
        <w:kinsoku/>
        <w:wordWrap/>
        <w:overflowPunct/>
        <w:topLinePunct w:val="0"/>
        <w:bidi w:val="0"/>
        <w:adjustRightInd/>
        <w:snapToGrid w:val="0"/>
        <w:spacing w:line="560" w:lineRule="exact"/>
        <w:ind w:left="0" w:leftChars="0" w:right="0" w:rightChars="0" w:firstLine="480" w:firstLineChars="2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在经营活动中没有违法记录；近三年无重大安全事故</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无故意或严重违规行为，无重大诉讼或仲裁案件。</w:t>
      </w:r>
    </w:p>
    <w:p w14:paraId="22DFCD46">
      <w:pPr>
        <w:keepNext w:val="0"/>
        <w:keepLines w:val="0"/>
        <w:pageBreakBefore w:val="0"/>
        <w:widowControl w:val="0"/>
        <w:kinsoku/>
        <w:wordWrap/>
        <w:overflowPunct/>
        <w:topLinePunct w:val="0"/>
        <w:bidi w:val="0"/>
        <w:adjustRightInd/>
        <w:snapToGrid w:val="0"/>
        <w:spacing w:line="560" w:lineRule="exact"/>
        <w:ind w:left="0" w:leftChars="0" w:right="0" w:righ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rPr>
        <w:t>投标</w:t>
      </w:r>
      <w:r>
        <w:rPr>
          <w:rFonts w:hint="eastAsia" w:ascii="仿宋" w:hAnsi="仿宋" w:eastAsia="仿宋" w:cs="仿宋"/>
          <w:color w:val="auto"/>
          <w:sz w:val="24"/>
          <w:szCs w:val="24"/>
          <w:highlight w:val="none"/>
          <w:lang w:val="en-US" w:eastAsia="zh-CN"/>
        </w:rPr>
        <w:t>人</w:t>
      </w:r>
      <w:r>
        <w:rPr>
          <w:rFonts w:hint="eastAsia" w:ascii="仿宋" w:hAnsi="仿宋" w:eastAsia="仿宋" w:cs="仿宋"/>
          <w:color w:val="auto"/>
          <w:sz w:val="24"/>
          <w:szCs w:val="24"/>
          <w:highlight w:val="none"/>
        </w:rPr>
        <w:t>不存在莱钢招标中心限制投标的情形。</w:t>
      </w:r>
    </w:p>
    <w:p w14:paraId="2D444869">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6.投标人未被国家企业信用信息公示系统(www.gsxt.</w:t>
      </w:r>
      <w:r>
        <w:rPr>
          <w:rFonts w:hint="eastAsia" w:ascii="仿宋" w:hAnsi="仿宋" w:eastAsia="仿宋" w:cs="仿宋"/>
          <w:color w:val="auto"/>
          <w:sz w:val="24"/>
          <w:szCs w:val="24"/>
          <w:highlight w:val="none"/>
        </w:rPr>
        <w:t>gov.cn)列入严重违法失信企业名单（以开标当日数据为准）。</w:t>
      </w:r>
    </w:p>
    <w:p w14:paraId="6C45DBB0">
      <w:pPr>
        <w:keepNext w:val="0"/>
        <w:keepLines w:val="0"/>
        <w:pageBreakBefore w:val="0"/>
        <w:widowControl w:val="0"/>
        <w:kinsoku/>
        <w:wordWrap/>
        <w:overflowPunct/>
        <w:topLinePunct w:val="0"/>
        <w:bidi w:val="0"/>
        <w:adjustRightInd/>
        <w:snapToGrid w:val="0"/>
        <w:spacing w:line="560" w:lineRule="exact"/>
        <w:ind w:left="0" w:leftChars="0" w:right="0" w:righ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7.</w:t>
      </w:r>
      <w:r>
        <w:rPr>
          <w:rFonts w:hint="eastAsia" w:ascii="仿宋" w:hAnsi="仿宋" w:eastAsia="仿宋" w:cs="仿宋"/>
          <w:color w:val="auto"/>
          <w:sz w:val="24"/>
          <w:szCs w:val="24"/>
          <w:highlight w:val="none"/>
        </w:rPr>
        <w:t>投标人未被“信用中国”网站(www.creditchina.gov.cn)列入失信被执行人名单（以开标当日数据为准）。</w:t>
      </w:r>
    </w:p>
    <w:p w14:paraId="161AE2AC">
      <w:pPr>
        <w:keepNext w:val="0"/>
        <w:keepLines w:val="0"/>
        <w:pageBreakBefore w:val="0"/>
        <w:widowControl w:val="0"/>
        <w:kinsoku/>
        <w:wordWrap/>
        <w:overflowPunct/>
        <w:topLinePunct w:val="0"/>
        <w:bidi w:val="0"/>
        <w:adjustRightInd/>
        <w:snapToGrid w:val="0"/>
        <w:spacing w:line="560" w:lineRule="exact"/>
        <w:ind w:left="0" w:leftChars="0" w:right="0" w:righ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8.</w:t>
      </w:r>
      <w:r>
        <w:rPr>
          <w:rFonts w:hint="eastAsia" w:ascii="仿宋" w:hAnsi="仿宋" w:eastAsia="仿宋" w:cs="仿宋"/>
          <w:color w:val="auto"/>
          <w:sz w:val="24"/>
          <w:szCs w:val="24"/>
          <w:highlight w:val="none"/>
        </w:rPr>
        <w:t>投标</w:t>
      </w:r>
      <w:r>
        <w:rPr>
          <w:rFonts w:hint="eastAsia" w:ascii="仿宋" w:hAnsi="仿宋" w:eastAsia="仿宋" w:cs="仿宋"/>
          <w:color w:val="auto"/>
          <w:sz w:val="24"/>
          <w:szCs w:val="24"/>
          <w:highlight w:val="none"/>
          <w:lang w:val="en-US" w:eastAsia="zh-CN"/>
        </w:rPr>
        <w:t>人</w:t>
      </w:r>
      <w:r>
        <w:rPr>
          <w:rFonts w:hint="eastAsia" w:ascii="仿宋" w:hAnsi="仿宋" w:eastAsia="仿宋" w:cs="仿宋"/>
          <w:color w:val="auto"/>
          <w:sz w:val="24"/>
          <w:szCs w:val="24"/>
          <w:highlight w:val="none"/>
        </w:rPr>
        <w:t>近三年内未处于被责令停业，财产被接管、冻结，破产状态。</w:t>
      </w:r>
    </w:p>
    <w:p w14:paraId="2DE22689">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480" w:firstLineChars="200"/>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9.投标人的股东、实际控制人及其最终控制人，及其上下游生产贸易链条中重要相关方无因发生重大不利影响，波及履约能力。</w:t>
      </w:r>
    </w:p>
    <w:p w14:paraId="7F31BFD7">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480" w:firstLineChars="200"/>
        <w:textAlignment w:val="auto"/>
        <w:outlineLvl w:val="1"/>
        <w:rPr>
          <w:rFonts w:hint="eastAsia" w:ascii="仿宋" w:hAnsi="仿宋" w:eastAsia="仿宋" w:cs="仿宋"/>
          <w:strike w:val="0"/>
          <w:dstrike w:val="0"/>
          <w:color w:val="auto"/>
          <w:kern w:val="0"/>
          <w:sz w:val="24"/>
          <w:szCs w:val="24"/>
          <w:highlight w:val="none"/>
          <w:lang w:val="en-US" w:eastAsia="zh-CN" w:bidi="ar"/>
        </w:rPr>
      </w:pPr>
      <w:r>
        <w:rPr>
          <w:rFonts w:hint="eastAsia" w:ascii="仿宋" w:hAnsi="仿宋" w:eastAsia="仿宋" w:cs="仿宋"/>
          <w:strike w:val="0"/>
          <w:dstrike w:val="0"/>
          <w:color w:val="auto"/>
          <w:kern w:val="0"/>
          <w:sz w:val="24"/>
          <w:szCs w:val="24"/>
          <w:highlight w:val="none"/>
          <w:shd w:val="clear" w:color="auto" w:fill="FFFFFF"/>
          <w:lang w:val="en-US" w:eastAsia="zh-CN"/>
        </w:rPr>
        <w:t>（三）本项目不接受联合体投标。</w:t>
      </w:r>
    </w:p>
    <w:p w14:paraId="7ECD46B0">
      <w:pPr>
        <w:keepNext w:val="0"/>
        <w:keepLines w:val="0"/>
        <w:pageBreakBefore w:val="0"/>
        <w:widowControl w:val="0"/>
        <w:kinsoku/>
        <w:wordWrap/>
        <w:overflowPunct/>
        <w:topLinePunct w:val="0"/>
        <w:bidi w:val="0"/>
        <w:adjustRightInd/>
        <w:snapToGrid w:val="0"/>
        <w:spacing w:line="560" w:lineRule="exact"/>
        <w:ind w:left="0" w:leftChars="0" w:right="0" w:rightChars="0" w:firstLine="482" w:firstLineChars="200"/>
        <w:textAlignment w:val="auto"/>
        <w:outlineLvl w:val="0"/>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四、招标文件的获取</w:t>
      </w:r>
    </w:p>
    <w:p w14:paraId="43F42302">
      <w:pPr>
        <w:keepNext w:val="0"/>
        <w:keepLines w:val="0"/>
        <w:pageBreakBefore w:val="0"/>
        <w:widowControl w:val="0"/>
        <w:kinsoku/>
        <w:wordWrap/>
        <w:overflowPunct/>
        <w:topLinePunct w:val="0"/>
        <w:bidi w:val="0"/>
        <w:adjustRightInd/>
        <w:snapToGrid w:val="0"/>
        <w:spacing w:line="560" w:lineRule="exact"/>
        <w:ind w:left="0" w:leftChars="0" w:right="0" w:rightChars="0" w:firstLine="480"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一）本项目实行网上报名，网上发售电子版招标文件。凡有意参加投标者，请于2026年9月1日至2026年9月7日（北京时间，下同），登录山钢集团招标采购与拍卖管理信息平台（http://bams-cs.shansteelgroup.com/dplp-public/）报名并购买下载电子版招标文件。同时将退款信息表（做为保证金的退款依据）发至项目经理邮箱，收到标书费和退款信息，经项目经理审核通过，投标人方可在网上下载电子招标文件。</w:t>
      </w:r>
    </w:p>
    <w:p w14:paraId="3906935A">
      <w:pPr>
        <w:keepNext w:val="0"/>
        <w:keepLines w:val="0"/>
        <w:pageBreakBefore w:val="0"/>
        <w:widowControl w:val="0"/>
        <w:kinsoku/>
        <w:wordWrap/>
        <w:overflowPunct/>
        <w:topLinePunct w:val="0"/>
        <w:bidi w:val="0"/>
        <w:adjustRightInd/>
        <w:snapToGrid w:val="0"/>
        <w:spacing w:line="560" w:lineRule="exact"/>
        <w:ind w:left="0" w:leftChars="0" w:right="0" w:rightChars="0" w:firstLine="480" w:firstLineChars="2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二</w:t>
      </w:r>
      <w:r>
        <w:rPr>
          <w:rFonts w:hint="eastAsia" w:ascii="仿宋" w:hAnsi="仿宋" w:eastAsia="仿宋" w:cs="仿宋"/>
          <w:color w:val="auto"/>
          <w:sz w:val="24"/>
          <w:szCs w:val="24"/>
          <w:highlight w:val="none"/>
          <w:lang w:eastAsia="zh-CN"/>
        </w:rPr>
        <w:t>）</w:t>
      </w:r>
      <w:r>
        <w:rPr>
          <w:rFonts w:hint="eastAsia" w:ascii="仿宋" w:hAnsi="仿宋" w:eastAsia="仿宋" w:cs="仿宋"/>
          <w:b w:val="0"/>
          <w:bCs w:val="0"/>
          <w:color w:val="auto"/>
          <w:sz w:val="24"/>
          <w:szCs w:val="24"/>
          <w:highlight w:val="none"/>
        </w:rPr>
        <w:t>未注册投标人，请登录山钢集团招标采购与拍卖管理信息平台（http://bams-cs.shansteelgroup.com/dplp-public/）</w:t>
      </w:r>
      <w:r>
        <w:rPr>
          <w:rFonts w:hint="eastAsia" w:ascii="仿宋" w:hAnsi="仿宋" w:eastAsia="仿宋" w:cs="仿宋"/>
          <w:b w:val="0"/>
          <w:bCs w:val="0"/>
          <w:color w:val="auto"/>
          <w:sz w:val="24"/>
          <w:szCs w:val="24"/>
          <w:highlight w:val="none"/>
          <w:lang w:val="en-US" w:eastAsia="zh-CN"/>
        </w:rPr>
        <w:t>进行</w:t>
      </w:r>
      <w:r>
        <w:rPr>
          <w:rFonts w:hint="eastAsia" w:ascii="仿宋" w:hAnsi="仿宋" w:eastAsia="仿宋" w:cs="仿宋"/>
          <w:b w:val="0"/>
          <w:bCs w:val="0"/>
          <w:color w:val="auto"/>
          <w:sz w:val="24"/>
          <w:szCs w:val="24"/>
          <w:highlight w:val="none"/>
        </w:rPr>
        <w:t>注册。</w:t>
      </w:r>
    </w:p>
    <w:p w14:paraId="1EEDAE22">
      <w:pPr>
        <w:keepNext w:val="0"/>
        <w:keepLines w:val="0"/>
        <w:pageBreakBefore w:val="0"/>
        <w:widowControl w:val="0"/>
        <w:kinsoku/>
        <w:wordWrap/>
        <w:overflowPunct/>
        <w:topLinePunct w:val="0"/>
        <w:bidi w:val="0"/>
        <w:adjustRightInd/>
        <w:snapToGrid w:val="0"/>
        <w:spacing w:line="560" w:lineRule="exact"/>
        <w:ind w:left="0" w:leftChars="0" w:right="0" w:righ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注册时仅填写或上传带红星的必填项，完成注册即可；点击报名，已报名成功的项目将消失，系统给予报名成功的提示，不必理会系统给予的“上传业绩”“交费”等提示，报名成功后再按本公告要求交费即可(必须先报名再交费）。</w:t>
      </w:r>
    </w:p>
    <w:p w14:paraId="27612683">
      <w:pPr>
        <w:keepNext w:val="0"/>
        <w:keepLines w:val="0"/>
        <w:pageBreakBefore w:val="0"/>
        <w:widowControl w:val="0"/>
        <w:kinsoku/>
        <w:wordWrap/>
        <w:overflowPunct/>
        <w:topLinePunct w:val="0"/>
        <w:bidi w:val="0"/>
        <w:adjustRightInd/>
        <w:snapToGrid w:val="0"/>
        <w:spacing w:line="560" w:lineRule="exact"/>
        <w:ind w:left="0" w:leftChars="0" w:right="0" w:righ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三</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招标文件售价</w:t>
      </w: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00元，售后不退。文件费采取网上转账方式，报名费必须由企业对公账户转出，务必备注项目名称+用途（可简写）；投标人必须确保银行转账记录的真实性，由于提供错误或者虚假的转账凭证，产生的一切后果由投标人自负。</w:t>
      </w:r>
    </w:p>
    <w:p w14:paraId="6BE09572">
      <w:pPr>
        <w:keepNext w:val="0"/>
        <w:keepLines w:val="0"/>
        <w:pageBreakBefore w:val="0"/>
        <w:widowControl w:val="0"/>
        <w:kinsoku/>
        <w:wordWrap/>
        <w:overflowPunct/>
        <w:topLinePunct w:val="0"/>
        <w:bidi w:val="0"/>
        <w:adjustRightInd/>
        <w:snapToGrid w:val="0"/>
        <w:spacing w:line="560" w:lineRule="exact"/>
        <w:ind w:left="0" w:leftChars="0" w:right="0" w:righ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四</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标书费开具电子发票，</w:t>
      </w:r>
      <w:r>
        <w:rPr>
          <w:rFonts w:hint="eastAsia" w:ascii="仿宋" w:hAnsi="仿宋" w:eastAsia="仿宋" w:cs="仿宋"/>
          <w:color w:val="auto"/>
          <w:sz w:val="24"/>
          <w:szCs w:val="24"/>
          <w:highlight w:val="none"/>
          <w:lang w:val="en-US" w:eastAsia="zh-CN"/>
        </w:rPr>
        <w:t>发送至登记表登记的邮箱</w:t>
      </w:r>
      <w:r>
        <w:rPr>
          <w:rFonts w:hint="eastAsia" w:ascii="仿宋" w:hAnsi="仿宋" w:eastAsia="仿宋" w:cs="仿宋"/>
          <w:color w:val="auto"/>
          <w:sz w:val="24"/>
          <w:szCs w:val="24"/>
          <w:highlight w:val="none"/>
        </w:rPr>
        <w:t>。</w:t>
      </w:r>
    </w:p>
    <w:p w14:paraId="21588B42">
      <w:pPr>
        <w:keepNext w:val="0"/>
        <w:keepLines w:val="0"/>
        <w:pageBreakBefore w:val="0"/>
        <w:widowControl w:val="0"/>
        <w:kinsoku/>
        <w:wordWrap/>
        <w:overflowPunct/>
        <w:topLinePunct w:val="0"/>
        <w:bidi w:val="0"/>
        <w:adjustRightInd/>
        <w:snapToGrid w:val="0"/>
        <w:spacing w:line="560" w:lineRule="exact"/>
        <w:ind w:left="0" w:leftChars="0" w:right="0" w:righ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五</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代理单位账户信息</w:t>
      </w:r>
    </w:p>
    <w:p w14:paraId="53940837">
      <w:pPr>
        <w:keepNext w:val="0"/>
        <w:keepLines w:val="0"/>
        <w:pageBreakBefore w:val="0"/>
        <w:widowControl w:val="0"/>
        <w:kinsoku/>
        <w:wordWrap/>
        <w:overflowPunct/>
        <w:topLinePunct w:val="0"/>
        <w:bidi w:val="0"/>
        <w:adjustRightInd/>
        <w:snapToGrid w:val="0"/>
        <w:spacing w:line="560" w:lineRule="exact"/>
        <w:ind w:left="0" w:leftChars="0" w:right="0" w:righ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账户名称：山东时代工程咨询有限公司</w:t>
      </w:r>
    </w:p>
    <w:p w14:paraId="7A6651B6">
      <w:pPr>
        <w:keepNext w:val="0"/>
        <w:keepLines w:val="0"/>
        <w:pageBreakBefore w:val="0"/>
        <w:widowControl w:val="0"/>
        <w:kinsoku/>
        <w:wordWrap/>
        <w:overflowPunct/>
        <w:topLinePunct w:val="0"/>
        <w:bidi w:val="0"/>
        <w:adjustRightInd/>
        <w:snapToGrid w:val="0"/>
        <w:spacing w:line="560" w:lineRule="exact"/>
        <w:ind w:left="0" w:leftChars="0" w:right="0" w:righ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开户行名称：广发银行济南分行营业部</w:t>
      </w:r>
    </w:p>
    <w:p w14:paraId="2E7819A2">
      <w:pPr>
        <w:keepNext w:val="0"/>
        <w:keepLines w:val="0"/>
        <w:pageBreakBefore w:val="0"/>
        <w:widowControl w:val="0"/>
        <w:kinsoku/>
        <w:wordWrap/>
        <w:overflowPunct/>
        <w:topLinePunct w:val="0"/>
        <w:bidi w:val="0"/>
        <w:adjustRightInd/>
        <w:snapToGrid w:val="0"/>
        <w:spacing w:line="560" w:lineRule="exact"/>
        <w:ind w:left="0" w:leftChars="0" w:right="0" w:righ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开户账号：9550880241496700132</w:t>
      </w:r>
    </w:p>
    <w:p w14:paraId="6235738E">
      <w:pPr>
        <w:keepNext w:val="0"/>
        <w:keepLines w:val="0"/>
        <w:pageBreakBefore w:val="0"/>
        <w:widowControl w:val="0"/>
        <w:kinsoku/>
        <w:wordWrap/>
        <w:overflowPunct/>
        <w:topLinePunct w:val="0"/>
        <w:bidi w:val="0"/>
        <w:adjustRightInd/>
        <w:snapToGrid w:val="0"/>
        <w:spacing w:line="560" w:lineRule="exact"/>
        <w:ind w:left="0" w:leftChars="0" w:right="0" w:righ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联行号：306451000028</w:t>
      </w:r>
    </w:p>
    <w:p w14:paraId="22DB2FB8">
      <w:pPr>
        <w:keepNext w:val="0"/>
        <w:keepLines w:val="0"/>
        <w:pageBreakBefore w:val="0"/>
        <w:widowControl w:val="0"/>
        <w:kinsoku/>
        <w:wordWrap/>
        <w:overflowPunct/>
        <w:topLinePunct w:val="0"/>
        <w:bidi w:val="0"/>
        <w:adjustRightInd/>
        <w:snapToGrid w:val="0"/>
        <w:spacing w:line="560" w:lineRule="exact"/>
        <w:ind w:left="0" w:leftChars="0" w:right="0" w:righ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六</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本项目不接受未购买本招标文件的投标人投标。</w:t>
      </w:r>
    </w:p>
    <w:p w14:paraId="302902E4">
      <w:pPr>
        <w:keepNext w:val="0"/>
        <w:keepLines w:val="0"/>
        <w:pageBreakBefore w:val="0"/>
        <w:widowControl w:val="0"/>
        <w:kinsoku/>
        <w:wordWrap/>
        <w:overflowPunct/>
        <w:topLinePunct w:val="0"/>
        <w:bidi w:val="0"/>
        <w:adjustRightInd/>
        <w:snapToGrid w:val="0"/>
        <w:spacing w:line="560" w:lineRule="exact"/>
        <w:ind w:left="0" w:leftChars="0" w:right="0" w:rightChars="0" w:firstLine="482" w:firstLineChars="200"/>
        <w:textAlignment w:val="auto"/>
        <w:outlineLvl w:val="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lang w:val="en-US" w:eastAsia="zh-CN"/>
        </w:rPr>
        <w:t>五</w:t>
      </w:r>
      <w:r>
        <w:rPr>
          <w:rFonts w:hint="eastAsia" w:ascii="仿宋" w:hAnsi="仿宋" w:eastAsia="仿宋" w:cs="仿宋"/>
          <w:b/>
          <w:bCs/>
          <w:color w:val="auto"/>
          <w:sz w:val="24"/>
          <w:szCs w:val="24"/>
          <w:highlight w:val="none"/>
        </w:rPr>
        <w:t>、投标截止时间</w:t>
      </w:r>
    </w:p>
    <w:p w14:paraId="48B64A6B">
      <w:pPr>
        <w:keepNext w:val="0"/>
        <w:keepLines w:val="0"/>
        <w:pageBreakBefore w:val="0"/>
        <w:widowControl w:val="0"/>
        <w:kinsoku/>
        <w:wordWrap/>
        <w:overflowPunct/>
        <w:topLinePunct w:val="0"/>
        <w:bidi w:val="0"/>
        <w:adjustRightInd/>
        <w:snapToGrid w:val="0"/>
        <w:spacing w:line="560" w:lineRule="exact"/>
        <w:ind w:left="0" w:leftChars="0" w:right="0" w:rightChars="0"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投标文件递交的截止时间（投标截止时间）：2026年9月22日9时30分</w:t>
      </w:r>
      <w:r>
        <w:rPr>
          <w:rFonts w:hint="eastAsia" w:ascii="仿宋" w:hAnsi="仿宋" w:eastAsia="仿宋" w:cs="仿宋"/>
          <w:color w:val="auto"/>
          <w:sz w:val="24"/>
          <w:szCs w:val="24"/>
          <w:highlight w:val="none"/>
        </w:rPr>
        <w:t>（若有变化，另行通知）</w:t>
      </w:r>
      <w:r>
        <w:rPr>
          <w:rFonts w:hint="eastAsia" w:ascii="仿宋" w:hAnsi="仿宋" w:eastAsia="仿宋" w:cs="仿宋"/>
          <w:color w:val="auto"/>
          <w:sz w:val="24"/>
          <w:szCs w:val="24"/>
          <w:highlight w:val="none"/>
          <w:lang w:val="en-US" w:eastAsia="zh-CN"/>
        </w:rPr>
        <w:t>。</w:t>
      </w:r>
    </w:p>
    <w:p w14:paraId="08B278CE">
      <w:pPr>
        <w:keepNext w:val="0"/>
        <w:keepLines w:val="0"/>
        <w:pageBreakBefore w:val="0"/>
        <w:widowControl w:val="0"/>
        <w:kinsoku/>
        <w:wordWrap/>
        <w:overflowPunct/>
        <w:topLinePunct w:val="0"/>
        <w:bidi w:val="0"/>
        <w:adjustRightInd/>
        <w:snapToGrid w:val="0"/>
        <w:spacing w:line="560" w:lineRule="exact"/>
        <w:ind w:left="0" w:leftChars="0" w:right="0" w:rightChars="0" w:firstLine="482" w:firstLineChars="200"/>
        <w:textAlignment w:val="auto"/>
        <w:outlineLvl w:val="0"/>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六、投标文件递交及开标地点</w:t>
      </w:r>
    </w:p>
    <w:p w14:paraId="21A32691">
      <w:pPr>
        <w:keepNext w:val="0"/>
        <w:keepLines w:val="0"/>
        <w:pageBreakBefore w:val="0"/>
        <w:widowControl w:val="0"/>
        <w:kinsoku/>
        <w:wordWrap/>
        <w:overflowPunct/>
        <w:topLinePunct w:val="0"/>
        <w:bidi w:val="0"/>
        <w:adjustRightInd/>
        <w:snapToGrid w:val="0"/>
        <w:spacing w:line="560" w:lineRule="exact"/>
        <w:ind w:left="0" w:leftChars="0" w:right="0" w:rightChars="0"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投标人在投标截止时间前</w:t>
      </w:r>
      <w:r>
        <w:rPr>
          <w:rFonts w:hint="eastAsia" w:ascii="仿宋" w:hAnsi="仿宋" w:eastAsia="仿宋" w:cs="仿宋"/>
          <w:color w:val="auto"/>
          <w:sz w:val="24"/>
          <w:szCs w:val="24"/>
          <w:highlight w:val="none"/>
          <w:lang w:val="zh-CN"/>
        </w:rPr>
        <w:t>通过山东钢铁集团有限公司采购与拍卖信息管理平台（</w:t>
      </w:r>
      <w:r>
        <w:rPr>
          <w:rFonts w:hint="eastAsia" w:ascii="仿宋" w:hAnsi="仿宋" w:eastAsia="仿宋" w:cs="仿宋"/>
          <w:b w:val="0"/>
          <w:bCs w:val="0"/>
          <w:color w:val="auto"/>
          <w:sz w:val="24"/>
          <w:szCs w:val="24"/>
          <w:highlight w:val="none"/>
          <w:lang w:val="en-US" w:eastAsia="zh-CN"/>
        </w:rPr>
        <w:t>http://bams-cs.shansteelgroup.com/dplp-public/</w:t>
      </w:r>
      <w:r>
        <w:rPr>
          <w:rFonts w:hint="eastAsia" w:ascii="仿宋" w:hAnsi="仿宋" w:eastAsia="仿宋" w:cs="仿宋"/>
          <w:color w:val="auto"/>
          <w:sz w:val="24"/>
          <w:szCs w:val="24"/>
          <w:highlight w:val="none"/>
          <w:lang w:val="zh-CN"/>
        </w:rPr>
        <w:t>）</w:t>
      </w:r>
      <w:r>
        <w:rPr>
          <w:rFonts w:hint="eastAsia" w:ascii="仿宋" w:hAnsi="仿宋" w:eastAsia="仿宋" w:cs="仿宋"/>
          <w:color w:val="auto"/>
          <w:sz w:val="24"/>
          <w:szCs w:val="24"/>
          <w:highlight w:val="none"/>
          <w:lang w:val="en-US" w:eastAsia="zh-CN"/>
        </w:rPr>
        <w:t>填报报价及上传</w:t>
      </w:r>
      <w:r>
        <w:rPr>
          <w:rFonts w:hint="eastAsia" w:ascii="仿宋" w:hAnsi="仿宋" w:eastAsia="仿宋" w:cs="仿宋"/>
          <w:color w:val="auto"/>
          <w:sz w:val="24"/>
          <w:szCs w:val="24"/>
          <w:highlight w:val="none"/>
          <w:lang w:val="zh-CN"/>
        </w:rPr>
        <w:t>电子</w:t>
      </w:r>
      <w:r>
        <w:rPr>
          <w:rFonts w:hint="eastAsia" w:ascii="仿宋" w:hAnsi="仿宋" w:eastAsia="仿宋" w:cs="仿宋"/>
          <w:color w:val="auto"/>
          <w:sz w:val="24"/>
          <w:szCs w:val="24"/>
          <w:highlight w:val="none"/>
          <w:lang w:val="en-US" w:eastAsia="zh-CN"/>
        </w:rPr>
        <w:t>投标文件</w:t>
      </w:r>
      <w:r>
        <w:rPr>
          <w:rFonts w:hint="eastAsia" w:ascii="仿宋" w:hAnsi="仿宋" w:eastAsia="仿宋" w:cs="仿宋"/>
          <w:color w:val="auto"/>
          <w:sz w:val="24"/>
          <w:szCs w:val="24"/>
          <w:highlight w:val="none"/>
        </w:rPr>
        <w:t>。</w:t>
      </w:r>
    </w:p>
    <w:p w14:paraId="4337FCDF">
      <w:pPr>
        <w:keepNext w:val="0"/>
        <w:keepLines w:val="0"/>
        <w:pageBreakBefore w:val="0"/>
        <w:widowControl w:val="0"/>
        <w:kinsoku/>
        <w:wordWrap/>
        <w:overflowPunct/>
        <w:topLinePunct w:val="0"/>
        <w:bidi w:val="0"/>
        <w:adjustRightInd/>
        <w:snapToGrid w:val="0"/>
        <w:spacing w:line="560" w:lineRule="exact"/>
        <w:ind w:left="0" w:leftChars="0" w:right="0" w:rightChars="0"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逾期送达的投标文件，山钢集团招标采购与拍卖管理信息平台将予</w:t>
      </w:r>
      <w:r>
        <w:rPr>
          <w:rFonts w:hint="eastAsia" w:ascii="仿宋" w:hAnsi="仿宋" w:eastAsia="仿宋" w:cs="仿宋"/>
          <w:color w:val="auto"/>
          <w:sz w:val="24"/>
          <w:szCs w:val="24"/>
          <w:highlight w:val="none"/>
          <w:lang w:val="en-US" w:eastAsia="zh-CN"/>
        </w:rPr>
        <w:t>以拒收。</w:t>
      </w:r>
    </w:p>
    <w:p w14:paraId="78BEEDC4">
      <w:pPr>
        <w:keepNext w:val="0"/>
        <w:keepLines w:val="0"/>
        <w:pageBreakBefore w:val="0"/>
        <w:widowControl w:val="0"/>
        <w:kinsoku/>
        <w:wordWrap/>
        <w:overflowPunct/>
        <w:topLinePunct w:val="0"/>
        <w:bidi w:val="0"/>
        <w:adjustRightInd/>
        <w:snapToGrid w:val="0"/>
        <w:spacing w:line="560" w:lineRule="exact"/>
        <w:ind w:right="0" w:rightChars="0"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开标地点：莱芜钢铁集团有限公司3A02（济南市钢城区府前大街99号）</w:t>
      </w:r>
    </w:p>
    <w:p w14:paraId="5F450BA3">
      <w:pPr>
        <w:keepNext w:val="0"/>
        <w:keepLines w:val="0"/>
        <w:pageBreakBefore w:val="0"/>
        <w:widowControl w:val="0"/>
        <w:kinsoku/>
        <w:wordWrap/>
        <w:overflowPunct/>
        <w:topLinePunct w:val="0"/>
        <w:bidi w:val="0"/>
        <w:adjustRightInd/>
        <w:snapToGrid w:val="0"/>
        <w:spacing w:line="560" w:lineRule="exact"/>
        <w:ind w:left="0" w:leftChars="0" w:right="0" w:rightChars="0"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本项目采用线上电子开标。</w:t>
      </w:r>
    </w:p>
    <w:p w14:paraId="3DDCFE95">
      <w:pPr>
        <w:keepNext w:val="0"/>
        <w:keepLines w:val="0"/>
        <w:pageBreakBefore w:val="0"/>
        <w:widowControl w:val="0"/>
        <w:kinsoku/>
        <w:wordWrap/>
        <w:overflowPunct/>
        <w:topLinePunct w:val="0"/>
        <w:bidi w:val="0"/>
        <w:adjustRightInd/>
        <w:snapToGrid w:val="0"/>
        <w:spacing w:line="560" w:lineRule="exact"/>
        <w:ind w:left="0" w:leftChars="0" w:right="0" w:rightChars="0" w:firstLine="482" w:firstLineChars="200"/>
        <w:textAlignment w:val="auto"/>
        <w:outlineLvl w:val="0"/>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七、投标保证金</w:t>
      </w:r>
    </w:p>
    <w:p w14:paraId="1E47AF77">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80" w:firstLineChars="200"/>
        <w:jc w:val="both"/>
        <w:textAlignment w:val="auto"/>
        <w:outlineLvl w:val="9"/>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投标保证金金额：贰万元整。</w:t>
      </w:r>
    </w:p>
    <w:p w14:paraId="7339C0C7">
      <w:pPr>
        <w:keepNext w:val="0"/>
        <w:keepLines w:val="0"/>
        <w:pageBreakBefore w:val="0"/>
        <w:widowControl w:val="0"/>
        <w:numPr>
          <w:ilvl w:val="0"/>
          <w:numId w:val="0"/>
        </w:numPr>
        <w:tabs>
          <w:tab w:val="left" w:pos="993"/>
        </w:tabs>
        <w:kinsoku/>
        <w:wordWrap/>
        <w:overflowPunct/>
        <w:topLinePunct w:val="0"/>
        <w:autoSpaceDE/>
        <w:autoSpaceDN/>
        <w:bidi w:val="0"/>
        <w:adjustRightInd/>
        <w:snapToGrid/>
        <w:spacing w:line="560" w:lineRule="exact"/>
        <w:ind w:left="0" w:leftChars="0" w:right="0" w:rightChars="0" w:firstLine="482" w:firstLineChars="200"/>
        <w:jc w:val="both"/>
        <w:textAlignment w:val="auto"/>
        <w:outlineLvl w:val="0"/>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八、发布公告的媒介</w:t>
      </w:r>
    </w:p>
    <w:p w14:paraId="3423EDAE">
      <w:pPr>
        <w:pStyle w:val="9"/>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本项目招标公告同时在在“山钢集团招标采购与拍卖管理信息平台（http://bams-cs.shansteelgroup.com/dplp-public/）”、</w:t>
      </w:r>
      <w:r>
        <w:rPr>
          <w:rFonts w:hint="eastAsia" w:ascii="仿宋" w:hAnsi="仿宋" w:eastAsia="仿宋" w:cs="仿宋"/>
          <w:color w:val="auto"/>
          <w:highlight w:val="none"/>
        </w:rPr>
        <w:t>中国招标投标公共服务平台（www.cebpubservice.com）、山东省公共资源（国有产权）交易中心阳光采购服务平台（www.ygcgfw.com）和山东时代工程咨询有限公司（http://www.sdsdzx.com/）上发布</w:t>
      </w:r>
      <w:r>
        <w:rPr>
          <w:rFonts w:hint="eastAsia" w:ascii="仿宋" w:hAnsi="仿宋" w:eastAsia="仿宋" w:cs="仿宋"/>
          <w:color w:val="auto"/>
          <w:sz w:val="24"/>
          <w:szCs w:val="24"/>
          <w:highlight w:val="none"/>
          <w:lang w:val="en-US" w:eastAsia="zh-CN"/>
        </w:rPr>
        <w:t>。</w:t>
      </w:r>
    </w:p>
    <w:p w14:paraId="63F47C54">
      <w:pPr>
        <w:keepNext w:val="0"/>
        <w:keepLines w:val="0"/>
        <w:pageBreakBefore w:val="0"/>
        <w:widowControl w:val="0"/>
        <w:numPr>
          <w:ilvl w:val="0"/>
          <w:numId w:val="0"/>
        </w:numPr>
        <w:tabs>
          <w:tab w:val="left" w:pos="993"/>
        </w:tabs>
        <w:kinsoku/>
        <w:wordWrap/>
        <w:overflowPunct/>
        <w:topLinePunct w:val="0"/>
        <w:autoSpaceDE/>
        <w:autoSpaceDN/>
        <w:bidi w:val="0"/>
        <w:adjustRightInd/>
        <w:snapToGrid/>
        <w:spacing w:line="560" w:lineRule="exact"/>
        <w:ind w:left="0" w:leftChars="0" w:right="0" w:rightChars="0" w:firstLine="482" w:firstLineChars="200"/>
        <w:jc w:val="both"/>
        <w:textAlignment w:val="auto"/>
        <w:outlineLvl w:val="0"/>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九、投诉受理</w:t>
      </w:r>
    </w:p>
    <w:p w14:paraId="75F16F9B">
      <w:pPr>
        <w:pStyle w:val="4"/>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leftChars="0" w:right="0" w:rightChars="0"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投诉受理电话：0531-76923323</w:t>
      </w:r>
    </w:p>
    <w:p w14:paraId="2A162849">
      <w:pPr>
        <w:pStyle w:val="4"/>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leftChars="0" w:right="0" w:rightChars="0"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邮箱：18754708000@163.com</w:t>
      </w:r>
    </w:p>
    <w:p w14:paraId="290E8414">
      <w:pPr>
        <w:keepNext w:val="0"/>
        <w:keepLines w:val="0"/>
        <w:pageBreakBefore w:val="0"/>
        <w:widowControl w:val="0"/>
        <w:numPr>
          <w:ilvl w:val="0"/>
          <w:numId w:val="0"/>
        </w:numPr>
        <w:tabs>
          <w:tab w:val="left" w:pos="993"/>
        </w:tabs>
        <w:kinsoku/>
        <w:wordWrap/>
        <w:overflowPunct/>
        <w:topLinePunct w:val="0"/>
        <w:autoSpaceDE/>
        <w:autoSpaceDN/>
        <w:bidi w:val="0"/>
        <w:adjustRightInd/>
        <w:snapToGrid/>
        <w:spacing w:line="560" w:lineRule="exact"/>
        <w:ind w:left="0" w:leftChars="0" w:right="0" w:rightChars="0" w:firstLine="482" w:firstLineChars="200"/>
        <w:jc w:val="both"/>
        <w:textAlignment w:val="auto"/>
        <w:outlineLvl w:val="0"/>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十、联系方式</w:t>
      </w:r>
    </w:p>
    <w:p w14:paraId="6459749F">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480" w:firstLineChars="200"/>
        <w:textAlignment w:val="auto"/>
        <w:rPr>
          <w:rFonts w:hint="eastAsia" w:ascii="仿宋" w:hAnsi="仿宋" w:eastAsia="仿宋" w:cs="仿宋"/>
          <w:color w:val="auto"/>
          <w:sz w:val="24"/>
          <w:szCs w:val="24"/>
          <w:highlight w:val="none"/>
          <w:lang w:val="en-US"/>
        </w:rPr>
      </w:pPr>
      <w:r>
        <w:rPr>
          <w:rFonts w:hint="eastAsia" w:ascii="仿宋" w:hAnsi="仿宋" w:eastAsia="仿宋" w:cs="仿宋"/>
          <w:color w:val="auto"/>
          <w:sz w:val="24"/>
          <w:szCs w:val="24"/>
          <w:highlight w:val="none"/>
        </w:rPr>
        <w:t>招标人：</w:t>
      </w:r>
      <w:r>
        <w:rPr>
          <w:rFonts w:hint="eastAsia" w:ascii="仿宋" w:hAnsi="仿宋" w:eastAsia="仿宋" w:cs="仿宋"/>
          <w:color w:val="auto"/>
          <w:sz w:val="24"/>
          <w:szCs w:val="24"/>
          <w:highlight w:val="none"/>
          <w:lang w:val="en-US" w:eastAsia="zh-CN"/>
        </w:rPr>
        <w:t>山东钢铁股份有限公司</w:t>
      </w:r>
    </w:p>
    <w:p w14:paraId="7024F713">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联系地址：济南市钢城区府前大街99号</w:t>
      </w:r>
    </w:p>
    <w:p w14:paraId="139635C5">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招标项目联系人</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u w:val="none"/>
          <w:lang w:val="en-US" w:eastAsia="zh-CN"/>
        </w:rPr>
        <w:t>孙老师</w:t>
      </w:r>
      <w:r>
        <w:rPr>
          <w:rFonts w:hint="eastAsia" w:ascii="仿宋" w:hAnsi="仿宋" w:eastAsia="仿宋" w:cs="仿宋"/>
          <w:color w:val="auto"/>
          <w:sz w:val="24"/>
          <w:szCs w:val="24"/>
          <w:highlight w:val="none"/>
          <w:lang w:val="en-US" w:eastAsia="zh-CN"/>
        </w:rPr>
        <w:t xml:space="preserve"> </w:t>
      </w:r>
    </w:p>
    <w:p w14:paraId="5B6F5F66">
      <w:pPr>
        <w:pStyle w:val="13"/>
        <w:pageBreakBefore w:val="0"/>
        <w:kinsoku/>
        <w:overflowPunct/>
        <w:topLinePunct w:val="0"/>
        <w:autoSpaceDE/>
        <w:autoSpaceDN/>
        <w:bidi w:val="0"/>
        <w:spacing w:line="560" w:lineRule="exact"/>
        <w:ind w:firstLine="480" w:firstLineChars="200"/>
        <w:textAlignment w:val="auto"/>
        <w:rPr>
          <w:rFonts w:hint="default" w:ascii="仿宋" w:hAnsi="仿宋" w:eastAsia="仿宋" w:cs="仿宋"/>
          <w:color w:val="auto"/>
          <w:sz w:val="24"/>
          <w:szCs w:val="24"/>
          <w:highlight w:val="none"/>
          <w:lang w:val="en-US"/>
        </w:rPr>
      </w:pPr>
      <w:r>
        <w:rPr>
          <w:rFonts w:hint="eastAsia" w:ascii="仿宋" w:hAnsi="仿宋" w:eastAsia="仿宋" w:cs="仿宋"/>
          <w:color w:val="auto"/>
          <w:sz w:val="24"/>
          <w:szCs w:val="24"/>
          <w:highlight w:val="none"/>
          <w:lang w:val="en-US" w:eastAsia="zh-CN"/>
        </w:rPr>
        <w:t>联系方式</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u w:val="none"/>
          <w:lang w:val="en-US" w:eastAsia="zh-CN"/>
        </w:rPr>
        <w:t>13326228127</w:t>
      </w:r>
    </w:p>
    <w:p w14:paraId="6F29F65C">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480" w:firstLineChars="2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招标代理机构：</w:t>
      </w:r>
      <w:r>
        <w:rPr>
          <w:rFonts w:hint="eastAsia" w:ascii="仿宋" w:hAnsi="仿宋" w:eastAsia="仿宋" w:cs="仿宋"/>
          <w:color w:val="auto"/>
          <w:sz w:val="24"/>
          <w:szCs w:val="24"/>
          <w:highlight w:val="none"/>
          <w:lang w:eastAsia="zh-CN"/>
        </w:rPr>
        <w:t>山东时代工程咨询有限公司</w:t>
      </w:r>
    </w:p>
    <w:p w14:paraId="51EE5936">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480" w:firstLineChars="2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地址：</w:t>
      </w:r>
      <w:r>
        <w:rPr>
          <w:rFonts w:hint="eastAsia" w:ascii="仿宋" w:hAnsi="仿宋" w:eastAsia="仿宋" w:cs="仿宋"/>
          <w:color w:val="auto"/>
          <w:sz w:val="24"/>
          <w:szCs w:val="24"/>
          <w:highlight w:val="none"/>
          <w:lang w:eastAsia="zh-CN"/>
        </w:rPr>
        <w:t>济南市高新区舜华路2000号舜泰广场2号楼14层</w:t>
      </w:r>
    </w:p>
    <w:p w14:paraId="18778CDC">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联系人：</w:t>
      </w:r>
      <w:r>
        <w:rPr>
          <w:rFonts w:hint="eastAsia" w:ascii="仿宋" w:hAnsi="仿宋" w:eastAsia="仿宋" w:cs="仿宋"/>
          <w:color w:val="auto"/>
          <w:sz w:val="24"/>
          <w:szCs w:val="24"/>
          <w:highlight w:val="none"/>
          <w:lang w:val="en-US" w:eastAsia="zh-CN"/>
        </w:rPr>
        <w:t>张经理</w:t>
      </w:r>
    </w:p>
    <w:p w14:paraId="16EA7E95">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电话：18754708000</w:t>
      </w:r>
    </w:p>
    <w:p w14:paraId="65D90401">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电子邮箱：18754708000@163.com  </w:t>
      </w:r>
    </w:p>
    <w:p w14:paraId="15CF4DB5">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480" w:firstLineChars="200"/>
        <w:textAlignment w:val="auto"/>
        <w:rPr>
          <w:rFonts w:hint="eastAsia" w:ascii="仿宋" w:hAnsi="仿宋" w:eastAsia="仿宋" w:cs="仿宋"/>
          <w:color w:val="auto"/>
          <w:sz w:val="24"/>
          <w:szCs w:val="24"/>
          <w:highlight w:val="none"/>
        </w:rPr>
      </w:pPr>
    </w:p>
    <w:p w14:paraId="01175C3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jc w:val="righ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2026</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lang w:val="en-US" w:eastAsia="zh-CN"/>
        </w:rPr>
        <w:t>9</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日</w:t>
      </w:r>
    </w:p>
    <w:p w14:paraId="3EA6CFFC">
      <w:pP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br w:type="page"/>
      </w:r>
    </w:p>
    <w:p w14:paraId="3AB9E401">
      <w:pPr>
        <w:spacing w:before="65" w:line="228" w:lineRule="auto"/>
        <w:ind w:firstLine="420" w:firstLineChars="0"/>
        <w:outlineLvl w:val="0"/>
        <w:rPr>
          <w:rFonts w:hint="eastAsia" w:ascii="仿宋" w:hAnsi="仿宋" w:eastAsia="仿宋" w:cs="仿宋"/>
          <w:color w:val="auto"/>
          <w:sz w:val="24"/>
          <w:szCs w:val="21"/>
          <w:highlight w:val="none"/>
        </w:rPr>
      </w:pPr>
      <w:r>
        <w:rPr>
          <w:rFonts w:hint="eastAsia" w:ascii="仿宋" w:hAnsi="仿宋" w:eastAsia="仿宋" w:cs="仿宋"/>
          <w:color w:val="auto"/>
          <w:sz w:val="22"/>
          <w:szCs w:val="21"/>
          <w:highlight w:val="none"/>
        </w:rPr>
        <w:t>附件1：</w:t>
      </w:r>
    </w:p>
    <w:p w14:paraId="59A92CA7">
      <w:pPr>
        <w:spacing w:line="360" w:lineRule="auto"/>
        <w:jc w:val="center"/>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退款信息表</w:t>
      </w:r>
    </w:p>
    <w:tbl>
      <w:tblPr>
        <w:tblStyle w:val="10"/>
        <w:tblW w:w="519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15" w:type="dxa"/>
          <w:left w:w="15" w:type="dxa"/>
          <w:bottom w:w="15" w:type="dxa"/>
          <w:right w:w="15" w:type="dxa"/>
        </w:tblCellMar>
      </w:tblPr>
      <w:tblGrid>
        <w:gridCol w:w="609"/>
        <w:gridCol w:w="962"/>
        <w:gridCol w:w="994"/>
        <w:gridCol w:w="728"/>
        <w:gridCol w:w="832"/>
        <w:gridCol w:w="898"/>
        <w:gridCol w:w="940"/>
        <w:gridCol w:w="940"/>
        <w:gridCol w:w="810"/>
        <w:gridCol w:w="953"/>
      </w:tblGrid>
      <w:tr w14:paraId="0AAEDF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445" w:hRule="atLeast"/>
          <w:jc w:val="center"/>
        </w:trPr>
        <w:tc>
          <w:tcPr>
            <w:tcW w:w="351"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B25BA1">
            <w:pPr>
              <w:keepNext w:val="0"/>
              <w:keepLines w:val="0"/>
              <w:widowControl/>
              <w:suppressLineNumbers w:val="0"/>
              <w:wordWrap/>
              <w:spacing w:line="240" w:lineRule="auto"/>
              <w:jc w:val="center"/>
              <w:textAlignment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kern w:val="0"/>
                <w:sz w:val="24"/>
                <w:szCs w:val="24"/>
                <w:highlight w:val="none"/>
                <w:lang w:val="en-US" w:eastAsia="zh-CN" w:bidi="ar"/>
              </w:rPr>
              <w:t>项目编号</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D5F49F5">
            <w:pPr>
              <w:keepNext w:val="0"/>
              <w:keepLines w:val="0"/>
              <w:widowControl/>
              <w:suppressLineNumbers w:val="0"/>
              <w:wordWrap/>
              <w:spacing w:line="240" w:lineRule="auto"/>
              <w:jc w:val="center"/>
              <w:textAlignment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kern w:val="0"/>
                <w:sz w:val="24"/>
                <w:szCs w:val="24"/>
                <w:highlight w:val="none"/>
                <w:lang w:val="en-US" w:eastAsia="zh-CN" w:bidi="ar"/>
              </w:rPr>
              <w:t>项目名称</w:t>
            </w:r>
          </w:p>
        </w:tc>
        <w:tc>
          <w:tcPr>
            <w:tcW w:w="573"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A8B52EA">
            <w:pPr>
              <w:keepNext w:val="0"/>
              <w:keepLines w:val="0"/>
              <w:widowControl/>
              <w:suppressLineNumbers w:val="0"/>
              <w:wordWrap/>
              <w:spacing w:line="240" w:lineRule="auto"/>
              <w:jc w:val="center"/>
              <w:textAlignment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kern w:val="0"/>
                <w:sz w:val="24"/>
                <w:szCs w:val="24"/>
                <w:highlight w:val="none"/>
                <w:lang w:val="en-US" w:eastAsia="zh-CN" w:bidi="ar"/>
              </w:rPr>
              <w:t>单位名称</w:t>
            </w:r>
          </w:p>
        </w:tc>
        <w:tc>
          <w:tcPr>
            <w:tcW w:w="420"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B6409F2">
            <w:pPr>
              <w:keepNext w:val="0"/>
              <w:keepLines w:val="0"/>
              <w:widowControl/>
              <w:suppressLineNumbers w:val="0"/>
              <w:wordWrap/>
              <w:spacing w:line="240" w:lineRule="auto"/>
              <w:jc w:val="center"/>
              <w:textAlignment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kern w:val="0"/>
                <w:sz w:val="24"/>
                <w:szCs w:val="24"/>
                <w:highlight w:val="none"/>
                <w:lang w:val="en-US" w:eastAsia="zh-CN" w:bidi="ar"/>
              </w:rPr>
              <w:t>收款账号</w:t>
            </w:r>
          </w:p>
        </w:tc>
        <w:tc>
          <w:tcPr>
            <w:tcW w:w="480"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7C6A2DC">
            <w:pPr>
              <w:keepNext w:val="0"/>
              <w:keepLines w:val="0"/>
              <w:widowControl/>
              <w:suppressLineNumbers w:val="0"/>
              <w:wordWrap/>
              <w:spacing w:line="240" w:lineRule="auto"/>
              <w:jc w:val="center"/>
              <w:textAlignment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kern w:val="0"/>
                <w:sz w:val="24"/>
                <w:szCs w:val="24"/>
                <w:highlight w:val="none"/>
                <w:lang w:val="en-US" w:eastAsia="zh-CN" w:bidi="ar"/>
              </w:rPr>
              <w:t>开户行名称</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AC01FA4">
            <w:pPr>
              <w:keepNext w:val="0"/>
              <w:keepLines w:val="0"/>
              <w:widowControl/>
              <w:suppressLineNumbers w:val="0"/>
              <w:wordWrap/>
              <w:spacing w:line="240" w:lineRule="auto"/>
              <w:jc w:val="center"/>
              <w:textAlignment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kern w:val="0"/>
                <w:sz w:val="24"/>
                <w:szCs w:val="24"/>
                <w:highlight w:val="none"/>
                <w:lang w:val="en-US" w:eastAsia="zh-CN" w:bidi="ar"/>
              </w:rPr>
              <w:t>支付联行号</w:t>
            </w:r>
          </w:p>
        </w:tc>
        <w:tc>
          <w:tcPr>
            <w:tcW w:w="542"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3663B26">
            <w:pPr>
              <w:keepNext w:val="0"/>
              <w:keepLines w:val="0"/>
              <w:widowControl/>
              <w:suppressLineNumbers w:val="0"/>
              <w:wordWrap/>
              <w:spacing w:line="240" w:lineRule="auto"/>
              <w:jc w:val="center"/>
              <w:textAlignment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kern w:val="0"/>
                <w:sz w:val="24"/>
                <w:szCs w:val="24"/>
                <w:highlight w:val="none"/>
                <w:lang w:val="en-US" w:eastAsia="zh-CN" w:bidi="ar"/>
              </w:rPr>
              <w:t>统一社会信用代码</w:t>
            </w:r>
          </w:p>
        </w:tc>
        <w:tc>
          <w:tcPr>
            <w:tcW w:w="542" w:type="pct"/>
            <w:tcBorders>
              <w:top w:val="single" w:color="000000" w:sz="4" w:space="0"/>
              <w:left w:val="single" w:color="000000" w:sz="4" w:space="0"/>
              <w:bottom w:val="single" w:color="000000" w:sz="4" w:space="0"/>
              <w:right w:val="single" w:color="000000" w:sz="4" w:space="0"/>
            </w:tcBorders>
            <w:shd w:val="clear" w:color="FFFFFF" w:fill="auto"/>
            <w:noWrap w:val="0"/>
            <w:vAlign w:val="center"/>
          </w:tcPr>
          <w:p w14:paraId="4A4F963E">
            <w:pPr>
              <w:keepNext w:val="0"/>
              <w:keepLines w:val="0"/>
              <w:widowControl/>
              <w:suppressLineNumbers w:val="0"/>
              <w:wordWrap/>
              <w:spacing w:line="240" w:lineRule="auto"/>
              <w:jc w:val="center"/>
              <w:textAlignment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kern w:val="0"/>
                <w:sz w:val="24"/>
                <w:szCs w:val="24"/>
                <w:highlight w:val="none"/>
                <w:lang w:val="en-US" w:eastAsia="zh-CN" w:bidi="ar"/>
              </w:rPr>
              <w:t>发票接收邮箱</w:t>
            </w:r>
          </w:p>
        </w:tc>
        <w:tc>
          <w:tcPr>
            <w:tcW w:w="467" w:type="pct"/>
            <w:tcBorders>
              <w:top w:val="single" w:color="000000" w:sz="4" w:space="0"/>
              <w:left w:val="single" w:color="000000" w:sz="4" w:space="0"/>
              <w:bottom w:val="single" w:color="000000" w:sz="4" w:space="0"/>
              <w:right w:val="single" w:color="000000" w:sz="4" w:space="0"/>
            </w:tcBorders>
            <w:shd w:val="clear" w:color="FFFFFF" w:fill="auto"/>
            <w:noWrap w:val="0"/>
            <w:vAlign w:val="center"/>
          </w:tcPr>
          <w:p w14:paraId="3237250D">
            <w:pPr>
              <w:keepNext w:val="0"/>
              <w:keepLines w:val="0"/>
              <w:widowControl/>
              <w:suppressLineNumbers w:val="0"/>
              <w:wordWrap/>
              <w:spacing w:line="240" w:lineRule="auto"/>
              <w:jc w:val="center"/>
              <w:textAlignment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kern w:val="0"/>
                <w:sz w:val="24"/>
                <w:szCs w:val="24"/>
                <w:highlight w:val="none"/>
                <w:lang w:val="en-US" w:eastAsia="zh-CN" w:bidi="ar"/>
              </w:rPr>
              <w:t>联系人</w:t>
            </w:r>
          </w:p>
        </w:tc>
        <w:tc>
          <w:tcPr>
            <w:tcW w:w="549" w:type="pct"/>
            <w:tcBorders>
              <w:top w:val="single" w:color="000000" w:sz="4" w:space="0"/>
              <w:left w:val="single" w:color="000000" w:sz="4" w:space="0"/>
              <w:bottom w:val="single" w:color="000000" w:sz="4" w:space="0"/>
              <w:right w:val="single" w:color="000000" w:sz="4" w:space="0"/>
            </w:tcBorders>
            <w:shd w:val="clear" w:color="FFFFFF" w:fill="auto"/>
            <w:noWrap w:val="0"/>
            <w:vAlign w:val="center"/>
          </w:tcPr>
          <w:p w14:paraId="2721861C">
            <w:pPr>
              <w:keepNext w:val="0"/>
              <w:keepLines w:val="0"/>
              <w:widowControl/>
              <w:suppressLineNumbers w:val="0"/>
              <w:wordWrap/>
              <w:spacing w:line="240" w:lineRule="auto"/>
              <w:jc w:val="center"/>
              <w:textAlignment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kern w:val="0"/>
                <w:sz w:val="24"/>
                <w:szCs w:val="24"/>
                <w:highlight w:val="none"/>
                <w:lang w:val="en-US" w:eastAsia="zh-CN" w:bidi="ar"/>
              </w:rPr>
              <w:t>电话</w:t>
            </w:r>
          </w:p>
        </w:tc>
      </w:tr>
      <w:tr w14:paraId="57ADC9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577" w:hRule="atLeast"/>
          <w:jc w:val="center"/>
        </w:trPr>
        <w:tc>
          <w:tcPr>
            <w:tcW w:w="351" w:type="pct"/>
            <w:tcBorders>
              <w:top w:val="single" w:color="000000" w:sz="4" w:space="0"/>
              <w:left w:val="single" w:color="000000" w:sz="4" w:space="0"/>
              <w:bottom w:val="single" w:color="000000" w:sz="4" w:space="0"/>
              <w:right w:val="single" w:color="000000" w:sz="4" w:space="0"/>
            </w:tcBorders>
            <w:noWrap w:val="0"/>
            <w:vAlign w:val="center"/>
          </w:tcPr>
          <w:p w14:paraId="3FF04A63">
            <w:pPr>
              <w:keepNext w:val="0"/>
              <w:keepLines w:val="0"/>
              <w:widowControl/>
              <w:suppressLineNumbers w:val="0"/>
              <w:wordWrap/>
              <w:spacing w:line="240" w:lineRule="auto"/>
              <w:jc w:val="left"/>
              <w:textAlignment w:val="center"/>
              <w:rPr>
                <w:rFonts w:hint="eastAsia" w:ascii="宋体" w:hAnsi="宋体" w:eastAsia="宋体" w:cs="宋体"/>
                <w:color w:val="auto"/>
                <w:sz w:val="24"/>
                <w:szCs w:val="24"/>
                <w:highlight w:val="none"/>
              </w:rPr>
            </w:pPr>
          </w:p>
        </w:tc>
        <w:tc>
          <w:tcPr>
            <w:tcW w:w="555" w:type="pct"/>
            <w:tcBorders>
              <w:top w:val="single" w:color="000000" w:sz="4" w:space="0"/>
              <w:left w:val="single" w:color="000000" w:sz="4" w:space="0"/>
              <w:bottom w:val="single" w:color="000000" w:sz="4" w:space="0"/>
              <w:right w:val="single" w:color="000000" w:sz="4" w:space="0"/>
            </w:tcBorders>
            <w:noWrap w:val="0"/>
            <w:vAlign w:val="center"/>
          </w:tcPr>
          <w:p w14:paraId="0773B47D">
            <w:pPr>
              <w:keepNext w:val="0"/>
              <w:keepLines w:val="0"/>
              <w:widowControl/>
              <w:suppressLineNumbers w:val="0"/>
              <w:wordWrap/>
              <w:spacing w:line="240" w:lineRule="auto"/>
              <w:jc w:val="left"/>
              <w:textAlignment w:val="center"/>
              <w:rPr>
                <w:rFonts w:hint="eastAsia" w:ascii="宋体" w:hAnsi="宋体" w:eastAsia="宋体" w:cs="宋体"/>
                <w:color w:val="auto"/>
                <w:sz w:val="24"/>
                <w:szCs w:val="24"/>
                <w:highlight w:val="none"/>
              </w:rPr>
            </w:pPr>
          </w:p>
        </w:tc>
        <w:tc>
          <w:tcPr>
            <w:tcW w:w="573" w:type="pct"/>
            <w:tcBorders>
              <w:top w:val="single" w:color="000000" w:sz="4" w:space="0"/>
              <w:left w:val="single" w:color="000000" w:sz="4" w:space="0"/>
              <w:bottom w:val="single" w:color="000000" w:sz="4" w:space="0"/>
              <w:right w:val="single" w:color="000000" w:sz="4" w:space="0"/>
            </w:tcBorders>
            <w:noWrap w:val="0"/>
            <w:vAlign w:val="center"/>
          </w:tcPr>
          <w:p w14:paraId="68E79BAA">
            <w:pPr>
              <w:keepNext w:val="0"/>
              <w:keepLines w:val="0"/>
              <w:widowControl/>
              <w:suppressLineNumbers w:val="0"/>
              <w:wordWrap/>
              <w:spacing w:line="240" w:lineRule="auto"/>
              <w:jc w:val="left"/>
              <w:textAlignment w:val="center"/>
              <w:rPr>
                <w:rFonts w:hint="eastAsia" w:ascii="宋体" w:hAnsi="宋体" w:eastAsia="宋体" w:cs="宋体"/>
                <w:color w:val="auto"/>
                <w:sz w:val="24"/>
                <w:szCs w:val="24"/>
                <w:highlight w:val="none"/>
              </w:rPr>
            </w:pPr>
          </w:p>
        </w:tc>
        <w:tc>
          <w:tcPr>
            <w:tcW w:w="420" w:type="pct"/>
            <w:tcBorders>
              <w:top w:val="single" w:color="000000" w:sz="4" w:space="0"/>
              <w:left w:val="single" w:color="000000" w:sz="4" w:space="0"/>
              <w:bottom w:val="single" w:color="000000" w:sz="4" w:space="0"/>
              <w:right w:val="single" w:color="000000" w:sz="4" w:space="0"/>
            </w:tcBorders>
            <w:noWrap w:val="0"/>
            <w:vAlign w:val="center"/>
          </w:tcPr>
          <w:p w14:paraId="4B5262B5">
            <w:pPr>
              <w:keepNext w:val="0"/>
              <w:keepLines w:val="0"/>
              <w:widowControl/>
              <w:suppressLineNumbers w:val="0"/>
              <w:wordWrap/>
              <w:spacing w:line="240" w:lineRule="auto"/>
              <w:jc w:val="left"/>
              <w:textAlignment w:val="center"/>
              <w:rPr>
                <w:rFonts w:hint="eastAsia" w:ascii="宋体" w:hAnsi="宋体" w:eastAsia="宋体" w:cs="宋体"/>
                <w:color w:val="auto"/>
                <w:sz w:val="24"/>
                <w:szCs w:val="24"/>
                <w:highlight w:val="none"/>
              </w:rPr>
            </w:pPr>
          </w:p>
        </w:tc>
        <w:tc>
          <w:tcPr>
            <w:tcW w:w="480" w:type="pct"/>
            <w:tcBorders>
              <w:top w:val="single" w:color="000000" w:sz="4" w:space="0"/>
              <w:left w:val="single" w:color="000000" w:sz="4" w:space="0"/>
              <w:bottom w:val="single" w:color="000000" w:sz="4" w:space="0"/>
              <w:right w:val="single" w:color="000000" w:sz="4" w:space="0"/>
            </w:tcBorders>
            <w:noWrap w:val="0"/>
            <w:vAlign w:val="center"/>
          </w:tcPr>
          <w:p w14:paraId="250F567C">
            <w:pPr>
              <w:keepNext w:val="0"/>
              <w:keepLines w:val="0"/>
              <w:widowControl/>
              <w:suppressLineNumbers w:val="0"/>
              <w:wordWrap/>
              <w:spacing w:line="240" w:lineRule="auto"/>
              <w:jc w:val="left"/>
              <w:textAlignment w:val="center"/>
              <w:rPr>
                <w:rFonts w:hint="eastAsia" w:ascii="宋体" w:hAnsi="宋体" w:eastAsia="宋体" w:cs="宋体"/>
                <w:color w:val="auto"/>
                <w:sz w:val="24"/>
                <w:szCs w:val="24"/>
                <w:highlight w:val="none"/>
              </w:rPr>
            </w:pPr>
          </w:p>
        </w:tc>
        <w:tc>
          <w:tcPr>
            <w:tcW w:w="518" w:type="pct"/>
            <w:tcBorders>
              <w:top w:val="single" w:color="000000" w:sz="4" w:space="0"/>
              <w:left w:val="single" w:color="000000" w:sz="4" w:space="0"/>
              <w:bottom w:val="single" w:color="000000" w:sz="4" w:space="0"/>
              <w:right w:val="single" w:color="000000" w:sz="4" w:space="0"/>
            </w:tcBorders>
            <w:noWrap w:val="0"/>
            <w:vAlign w:val="center"/>
          </w:tcPr>
          <w:p w14:paraId="7B358809">
            <w:pPr>
              <w:keepNext w:val="0"/>
              <w:keepLines w:val="0"/>
              <w:widowControl/>
              <w:suppressLineNumbers w:val="0"/>
              <w:wordWrap/>
              <w:spacing w:line="240" w:lineRule="auto"/>
              <w:jc w:val="left"/>
              <w:textAlignment w:val="center"/>
              <w:rPr>
                <w:rFonts w:hint="eastAsia" w:ascii="宋体" w:hAnsi="宋体" w:eastAsia="宋体" w:cs="宋体"/>
                <w:color w:val="auto"/>
                <w:sz w:val="24"/>
                <w:szCs w:val="24"/>
                <w:highlight w:val="none"/>
              </w:rPr>
            </w:pPr>
          </w:p>
        </w:tc>
        <w:tc>
          <w:tcPr>
            <w:tcW w:w="542" w:type="pct"/>
            <w:tcBorders>
              <w:top w:val="single" w:color="000000" w:sz="4" w:space="0"/>
              <w:left w:val="single" w:color="000000" w:sz="4" w:space="0"/>
              <w:bottom w:val="single" w:color="000000" w:sz="4" w:space="0"/>
              <w:right w:val="single" w:color="000000" w:sz="4" w:space="0"/>
            </w:tcBorders>
            <w:noWrap w:val="0"/>
            <w:vAlign w:val="center"/>
          </w:tcPr>
          <w:p w14:paraId="2692F437">
            <w:pPr>
              <w:keepNext w:val="0"/>
              <w:keepLines w:val="0"/>
              <w:widowControl/>
              <w:suppressLineNumbers w:val="0"/>
              <w:wordWrap/>
              <w:spacing w:line="240" w:lineRule="auto"/>
              <w:jc w:val="left"/>
              <w:textAlignment w:val="center"/>
              <w:rPr>
                <w:rFonts w:hint="eastAsia" w:ascii="宋体" w:hAnsi="宋体" w:eastAsia="宋体" w:cs="宋体"/>
                <w:color w:val="auto"/>
                <w:sz w:val="24"/>
                <w:szCs w:val="24"/>
                <w:highlight w:val="none"/>
              </w:rPr>
            </w:pPr>
          </w:p>
        </w:tc>
        <w:tc>
          <w:tcPr>
            <w:tcW w:w="542" w:type="pct"/>
            <w:tcBorders>
              <w:top w:val="single" w:color="000000" w:sz="4" w:space="0"/>
              <w:left w:val="single" w:color="000000" w:sz="4" w:space="0"/>
              <w:bottom w:val="single" w:color="000000" w:sz="4" w:space="0"/>
              <w:right w:val="single" w:color="000000" w:sz="4" w:space="0"/>
            </w:tcBorders>
            <w:noWrap/>
            <w:vAlign w:val="center"/>
          </w:tcPr>
          <w:p w14:paraId="06F11400">
            <w:pPr>
              <w:keepNext w:val="0"/>
              <w:keepLines w:val="0"/>
              <w:widowControl/>
              <w:suppressLineNumbers w:val="0"/>
              <w:wordWrap/>
              <w:spacing w:line="240" w:lineRule="auto"/>
              <w:jc w:val="left"/>
              <w:textAlignment w:val="center"/>
              <w:rPr>
                <w:rFonts w:hint="eastAsia" w:ascii="宋体" w:hAnsi="宋体" w:eastAsia="宋体" w:cs="宋体"/>
                <w:color w:val="auto"/>
                <w:sz w:val="20"/>
                <w:szCs w:val="20"/>
                <w:highlight w:val="none"/>
              </w:rPr>
            </w:pPr>
          </w:p>
        </w:tc>
        <w:tc>
          <w:tcPr>
            <w:tcW w:w="467" w:type="pct"/>
            <w:tcBorders>
              <w:top w:val="single" w:color="000000" w:sz="4" w:space="0"/>
              <w:left w:val="single" w:color="000000" w:sz="4" w:space="0"/>
              <w:bottom w:val="single" w:color="000000" w:sz="4" w:space="0"/>
              <w:right w:val="single" w:color="000000" w:sz="4" w:space="0"/>
            </w:tcBorders>
            <w:noWrap/>
            <w:vAlign w:val="center"/>
          </w:tcPr>
          <w:p w14:paraId="66627AFC">
            <w:pPr>
              <w:keepNext w:val="0"/>
              <w:keepLines w:val="0"/>
              <w:widowControl/>
              <w:suppressLineNumbers w:val="0"/>
              <w:wordWrap/>
              <w:spacing w:line="240" w:lineRule="auto"/>
              <w:jc w:val="left"/>
              <w:textAlignment w:val="center"/>
              <w:rPr>
                <w:rFonts w:hint="eastAsia" w:ascii="宋体" w:hAnsi="宋体" w:eastAsia="宋体" w:cs="宋体"/>
                <w:color w:val="auto"/>
                <w:sz w:val="24"/>
                <w:szCs w:val="24"/>
                <w:highlight w:val="none"/>
              </w:rPr>
            </w:pPr>
          </w:p>
        </w:tc>
        <w:tc>
          <w:tcPr>
            <w:tcW w:w="549" w:type="pct"/>
            <w:tcBorders>
              <w:top w:val="single" w:color="000000" w:sz="4" w:space="0"/>
              <w:left w:val="single" w:color="000000" w:sz="4" w:space="0"/>
              <w:bottom w:val="single" w:color="000000" w:sz="4" w:space="0"/>
              <w:right w:val="single" w:color="000000" w:sz="4" w:space="0"/>
            </w:tcBorders>
            <w:noWrap/>
            <w:vAlign w:val="center"/>
          </w:tcPr>
          <w:p w14:paraId="291306EB">
            <w:pPr>
              <w:keepNext w:val="0"/>
              <w:keepLines w:val="0"/>
              <w:widowControl/>
              <w:suppressLineNumbers w:val="0"/>
              <w:wordWrap/>
              <w:spacing w:line="240" w:lineRule="auto"/>
              <w:jc w:val="right"/>
              <w:textAlignment w:val="center"/>
              <w:rPr>
                <w:rFonts w:hint="eastAsia" w:ascii="宋体" w:hAnsi="宋体" w:eastAsia="宋体" w:cs="宋体"/>
                <w:color w:val="auto"/>
                <w:sz w:val="24"/>
                <w:szCs w:val="24"/>
                <w:highlight w:val="none"/>
              </w:rPr>
            </w:pPr>
          </w:p>
        </w:tc>
      </w:tr>
    </w:tbl>
    <w:p w14:paraId="4E033D2F">
      <w:pPr>
        <w:spacing w:line="360" w:lineRule="auto"/>
        <w:ind w:right="-195" w:rightChars="-93" w:firstLine="480" w:firstLineChars="200"/>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本表填写后请将盖章版扫描件及Word版一起返回项目经理邮箱，</w:t>
      </w:r>
      <w:r>
        <w:rPr>
          <w:rFonts w:hint="eastAsia" w:ascii="宋体" w:hAnsi="宋体" w:cs="宋体"/>
          <w:b w:val="0"/>
          <w:bCs/>
          <w:color w:val="auto"/>
          <w:sz w:val="24"/>
          <w:szCs w:val="24"/>
          <w:highlight w:val="none"/>
          <w:lang w:val="en-US" w:eastAsia="zh-CN"/>
        </w:rPr>
        <w:t>投标人</w:t>
      </w:r>
      <w:r>
        <w:rPr>
          <w:rFonts w:hint="eastAsia" w:ascii="宋体" w:hAnsi="宋体" w:eastAsia="宋体" w:cs="宋体"/>
          <w:b w:val="0"/>
          <w:bCs/>
          <w:color w:val="auto"/>
          <w:sz w:val="24"/>
          <w:szCs w:val="24"/>
          <w:highlight w:val="none"/>
          <w:lang w:val="en-US" w:eastAsia="zh-CN"/>
        </w:rPr>
        <w:t>须保证本表信息填写正确，如有错误后果自负。</w:t>
      </w:r>
    </w:p>
    <w:p w14:paraId="7E4342D6">
      <w:pPr>
        <w:spacing w:line="360" w:lineRule="auto"/>
        <w:jc w:val="center"/>
        <w:rPr>
          <w:rFonts w:hint="eastAsia" w:ascii="宋体" w:hAnsi="宋体" w:eastAsia="宋体" w:cs="宋体"/>
          <w:b/>
          <w:color w:val="auto"/>
          <w:sz w:val="24"/>
          <w:szCs w:val="24"/>
          <w:highlight w:val="none"/>
          <w:lang w:val="en-US" w:eastAsia="zh-CN"/>
        </w:rPr>
      </w:pPr>
    </w:p>
    <w:p w14:paraId="1DC3BB1D">
      <w:pPr>
        <w:spacing w:line="360" w:lineRule="auto"/>
        <w:jc w:val="center"/>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标书费付款凭证：</w:t>
      </w:r>
    </w:p>
    <w:tbl>
      <w:tblPr>
        <w:tblStyle w:val="11"/>
        <w:tblW w:w="92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64"/>
      </w:tblGrid>
      <w:tr w14:paraId="23CEE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5" w:hRule="atLeast"/>
          <w:jc w:val="center"/>
        </w:trPr>
        <w:tc>
          <w:tcPr>
            <w:tcW w:w="9264" w:type="dxa"/>
            <w:noWrap w:val="0"/>
            <w:vAlign w:val="top"/>
          </w:tcPr>
          <w:p w14:paraId="15B74058">
            <w:pPr>
              <w:spacing w:line="360" w:lineRule="auto"/>
              <w:ind w:right="560"/>
              <w:jc w:val="right"/>
              <w:rPr>
                <w:rFonts w:hint="eastAsia" w:ascii="宋体" w:hAnsi="宋体" w:eastAsia="宋体" w:cs="宋体"/>
                <w:b w:val="0"/>
                <w:bCs/>
                <w:color w:val="auto"/>
                <w:sz w:val="24"/>
                <w:szCs w:val="24"/>
                <w:highlight w:val="none"/>
                <w:vertAlign w:val="baseline"/>
              </w:rPr>
            </w:pPr>
          </w:p>
        </w:tc>
      </w:tr>
    </w:tbl>
    <w:p w14:paraId="204866CD">
      <w:pPr>
        <w:spacing w:line="360" w:lineRule="auto"/>
        <w:ind w:right="560"/>
        <w:jc w:val="right"/>
        <w:rPr>
          <w:rFonts w:hint="eastAsia" w:ascii="宋体" w:hAnsi="宋体" w:eastAsia="宋体" w:cs="宋体"/>
          <w:b w:val="0"/>
          <w:bCs/>
          <w:color w:val="auto"/>
          <w:sz w:val="24"/>
          <w:szCs w:val="24"/>
          <w:highlight w:val="none"/>
          <w:lang w:eastAsia="zh-CN"/>
        </w:rPr>
      </w:pPr>
      <w:r>
        <w:rPr>
          <w:rFonts w:hint="eastAsia" w:ascii="宋体" w:hAnsi="宋体" w:cs="宋体"/>
          <w:b w:val="0"/>
          <w:bCs/>
          <w:color w:val="auto"/>
          <w:sz w:val="24"/>
          <w:szCs w:val="24"/>
          <w:highlight w:val="none"/>
          <w:lang w:val="en-US" w:eastAsia="zh-CN"/>
        </w:rPr>
        <w:t>投标人</w:t>
      </w:r>
      <w:r>
        <w:rPr>
          <w:rFonts w:hint="eastAsia" w:ascii="宋体" w:hAnsi="宋体" w:eastAsia="宋体" w:cs="宋体"/>
          <w:b w:val="0"/>
          <w:bCs/>
          <w:color w:val="auto"/>
          <w:sz w:val="24"/>
          <w:szCs w:val="24"/>
          <w:highlight w:val="none"/>
        </w:rPr>
        <w:t>公章：（盖章有效</w:t>
      </w:r>
      <w:r>
        <w:rPr>
          <w:rFonts w:hint="eastAsia" w:ascii="宋体" w:hAnsi="宋体" w:eastAsia="宋体" w:cs="宋体"/>
          <w:b w:val="0"/>
          <w:bCs/>
          <w:color w:val="auto"/>
          <w:sz w:val="24"/>
          <w:szCs w:val="24"/>
          <w:highlight w:val="none"/>
          <w:lang w:eastAsia="zh-CN"/>
        </w:rPr>
        <w:t>）</w:t>
      </w:r>
    </w:p>
    <w:p w14:paraId="28198609">
      <w:pPr>
        <w:spacing w:line="360" w:lineRule="auto"/>
        <w:ind w:right="560"/>
        <w:jc w:val="right"/>
        <w:rPr>
          <w:rFonts w:hint="eastAsia" w:ascii="宋体" w:hAnsi="宋体" w:eastAsia="宋体" w:cs="宋体"/>
          <w:color w:val="auto"/>
          <w:highlight w:val="none"/>
        </w:rPr>
      </w:pPr>
      <w:r>
        <w:rPr>
          <w:rFonts w:hint="eastAsia" w:ascii="宋体" w:hAnsi="宋体" w:eastAsia="宋体" w:cs="宋体"/>
          <w:b w:val="0"/>
          <w:bCs/>
          <w:color w:val="auto"/>
          <w:sz w:val="24"/>
          <w:szCs w:val="24"/>
          <w:highlight w:val="none"/>
          <w:lang w:val="en-US" w:eastAsia="zh-CN"/>
        </w:rPr>
        <w:t>日期   年   月   日</w:t>
      </w:r>
    </w:p>
    <w:p w14:paraId="0F7F03D1"/>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仿宋_GB2312">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619238">
    <w:pPr>
      <w:spacing w:line="236" w:lineRule="exact"/>
      <w:ind w:left="3968" w:firstLine="340"/>
      <w:rPr>
        <w:rFonts w:eastAsia="Times New Roman"/>
        <w:sz w:val="17"/>
        <w:szCs w:val="17"/>
      </w:rPr>
    </w:pPr>
    <w:r>
      <w:rPr>
        <w:sz w:val="17"/>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15B6C94">
                          <w:pPr>
                            <w:pStyle w:val="6"/>
                            <w:ind w:firstLine="360"/>
                          </w:pPr>
                          <w:r>
                            <w:fldChar w:fldCharType="begin"/>
                          </w:r>
                          <w:r>
                            <w:instrText xml:space="preserve"> PAGE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B4HF0wAgAAY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eEybMsbPXO&#10;8ggd5fF2dQyQs1M5itIrge7EDWav69PwTuJw/7nvoh7/Dc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FB4HF0wAgAAYwQAAA4AAAAAAAAAAQAgAAAAHwEAAGRycy9lMm9Eb2MueG1sUEsFBgAA&#10;AAAGAAYAWQEAAMEFAAAAAA==&#10;">
              <v:fill on="f" focussize="0,0"/>
              <v:stroke on="f" weight="0.5pt"/>
              <v:imagedata o:title=""/>
              <o:lock v:ext="edit" aspectratio="f"/>
              <v:textbox inset="0mm,0mm,0mm,0mm" style="mso-fit-shape-to-text:t;">
                <w:txbxContent>
                  <w:p w14:paraId="415B6C94">
                    <w:pPr>
                      <w:pStyle w:val="6"/>
                      <w:ind w:firstLine="360"/>
                    </w:pPr>
                    <w:r>
                      <w:fldChar w:fldCharType="begin"/>
                    </w:r>
                    <w:r>
                      <w:instrText xml:space="preserve"> PAGE  \* MERGEFORMAT </w:instrText>
                    </w:r>
                    <w:r>
                      <w:fldChar w:fldCharType="separate"/>
                    </w:r>
                    <w:r>
                      <w:t>10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5671F1">
    <w:pPr>
      <w:pStyle w:val="7"/>
      <w:pBdr>
        <w:bottom w:val="none" w:color="auto" w:sz="0" w:space="1"/>
      </w:pBdr>
      <w:tabs>
        <w:tab w:val="left" w:pos="6920"/>
        <w:tab w:val="clear" w:pos="8306"/>
      </w:tabs>
      <w:ind w:firstLine="0" w:firstLineChars="0"/>
      <w:jc w:val="lef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1627507"/>
    <w:rsid w:val="19BC544F"/>
    <w:rsid w:val="27887E16"/>
    <w:rsid w:val="3098561E"/>
    <w:rsid w:val="6BD92B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30"/>
      <w:szCs w:val="44"/>
    </w:rPr>
  </w:style>
  <w:style w:type="paragraph" w:styleId="2">
    <w:name w:val="heading 2"/>
    <w:basedOn w:val="1"/>
    <w:next w:val="1"/>
    <w:qFormat/>
    <w:uiPriority w:val="0"/>
    <w:pPr>
      <w:keepNext/>
      <w:keepLines/>
      <w:spacing w:before="260" w:after="260"/>
      <w:ind w:firstLine="628"/>
      <w:jc w:val="center"/>
      <w:outlineLvl w:val="1"/>
    </w:pPr>
    <w:rPr>
      <w:rFonts w:ascii="仿宋" w:hAnsi="仿宋" w:eastAsia="仿宋" w:cs="仿宋"/>
      <w:b/>
      <w:bCs/>
      <w:sz w:val="32"/>
      <w:szCs w:val="32"/>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Body Text"/>
    <w:basedOn w:val="1"/>
    <w:next w:val="5"/>
    <w:qFormat/>
    <w:uiPriority w:val="0"/>
    <w:pPr>
      <w:tabs>
        <w:tab w:val="left" w:pos="900"/>
      </w:tabs>
      <w:spacing w:line="360" w:lineRule="auto"/>
      <w:ind w:firstLine="480" w:firstLineChars="200"/>
    </w:pPr>
    <w:rPr>
      <w:rFonts w:ascii="方正仿宋_GB2312" w:hAnsi="方正仿宋_GB2312" w:eastAsia="方正仿宋_GB2312" w:cs="方正仿宋_GB2312"/>
      <w:sz w:val="28"/>
      <w:szCs w:val="28"/>
      <w:highlight w:val="none"/>
    </w:rPr>
  </w:style>
  <w:style w:type="paragraph" w:customStyle="1" w:styleId="5">
    <w:name w:val="标题 2 Char1"/>
    <w:basedOn w:val="1"/>
    <w:qFormat/>
    <w:uiPriority w:val="0"/>
    <w:pPr>
      <w:tabs>
        <w:tab w:val="left" w:pos="1134"/>
        <w:tab w:val="right" w:pos="7371"/>
      </w:tabs>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rPr>
  </w:style>
  <w:style w:type="paragraph" w:styleId="8">
    <w:name w:val="toc 2"/>
    <w:basedOn w:val="1"/>
    <w:next w:val="1"/>
    <w:semiHidden/>
    <w:qFormat/>
    <w:uiPriority w:val="0"/>
    <w:pPr>
      <w:ind w:left="210"/>
      <w:jc w:val="left"/>
    </w:pPr>
    <w:rPr>
      <w:smallCaps/>
      <w:sz w:val="28"/>
      <w:szCs w:val="24"/>
    </w:rPr>
  </w:style>
  <w:style w:type="paragraph" w:styleId="9">
    <w:name w:val="Body Text First Indent 2"/>
    <w:basedOn w:val="1"/>
    <w:qFormat/>
    <w:uiPriority w:val="0"/>
    <w:pPr>
      <w:spacing w:after="120"/>
      <w:ind w:left="420" w:leftChars="200" w:firstLine="420" w:firstLineChars="200"/>
    </w:pPr>
    <w:rPr>
      <w:rFonts w:ascii="Times New Roman" w:eastAsia="宋体"/>
      <w:sz w:val="21"/>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
    <w:name w:val="p0"/>
    <w:basedOn w:val="1"/>
    <w:qFormat/>
    <w:uiPriority w:val="0"/>
    <w:pPr>
      <w:widowControl/>
      <w:jc w:val="left"/>
    </w:pPr>
    <w:rPr>
      <w:kern w:val="0"/>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2529</Words>
  <Characters>2963</Characters>
  <Lines>0</Lines>
  <Paragraphs>0</Paragraphs>
  <TotalTime>3</TotalTime>
  <ScaleCrop>false</ScaleCrop>
  <LinksUpToDate>false</LinksUpToDate>
  <CharactersWithSpaces>2976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2026-09-01T02:12:00Z</dcterms:created>
  <dc:creator>18754</dc:creator>
  <cp:lastModifiedBy>秋歌</cp:lastModifiedBy>
  <dcterms:modified xsi:type="dcterms:W3CDTF">2026-09-01T03:24:53Z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eyJoZGlkIjoiZDg1ODM3Yzk3OTUxNGM0NmE2N2RiMGJhYzYxNjJlMTYiLCJ1c2VySWQiOiI0OTg5Mjg2ODkifQ==</vt:lpwstr>
  </property>
  <property fmtid="{D5CDD505-2E9C-101B-9397-08002B2CF9AE}" pid="4" name="ICV">
    <vt:lpwstr>61F26AFCBFFA40CC9CC8B69E6F2FEB3E_12</vt:lpwstr>
  </property>
</Properties>
</file>